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CBF3" w14:textId="77777777" w:rsidR="006B29FC" w:rsidRDefault="006B29FC">
      <w:pPr>
        <w:pStyle w:val="Corpotesto"/>
        <w:rPr>
          <w:rFonts w:ascii="Times New Roman" w:hAnsi="Times New Roman"/>
          <w:sz w:val="52"/>
        </w:rPr>
      </w:pPr>
    </w:p>
    <w:p w14:paraId="75DFD4BC" w14:textId="77777777" w:rsidR="006B29FC" w:rsidRDefault="006B29FC">
      <w:pPr>
        <w:pStyle w:val="Corpotesto"/>
        <w:rPr>
          <w:rFonts w:ascii="Times New Roman" w:hAnsi="Times New Roman"/>
          <w:sz w:val="52"/>
        </w:rPr>
      </w:pPr>
    </w:p>
    <w:p w14:paraId="26F117A1" w14:textId="77777777" w:rsidR="006B29FC" w:rsidRDefault="006B29FC">
      <w:pPr>
        <w:pStyle w:val="Corpotesto"/>
        <w:rPr>
          <w:rFonts w:ascii="Times New Roman" w:hAnsi="Times New Roman"/>
          <w:sz w:val="52"/>
        </w:rPr>
      </w:pPr>
    </w:p>
    <w:p w14:paraId="0A24321D" w14:textId="77777777" w:rsidR="006B29FC" w:rsidRDefault="006B29FC">
      <w:pPr>
        <w:pStyle w:val="Corpotesto"/>
        <w:rPr>
          <w:rFonts w:ascii="Times New Roman" w:hAnsi="Times New Roman"/>
          <w:sz w:val="52"/>
        </w:rPr>
      </w:pPr>
    </w:p>
    <w:p w14:paraId="29A345F9" w14:textId="77777777" w:rsidR="006B29FC" w:rsidRDefault="006B29FC">
      <w:pPr>
        <w:pStyle w:val="Corpotesto"/>
        <w:spacing w:before="52"/>
        <w:rPr>
          <w:rFonts w:ascii="Times New Roman" w:hAnsi="Times New Roman"/>
          <w:sz w:val="52"/>
        </w:rPr>
      </w:pPr>
    </w:p>
    <w:p w14:paraId="77C02736" w14:textId="77777777" w:rsidR="006B29FC" w:rsidRDefault="00725BF1">
      <w:pPr>
        <w:pStyle w:val="Titolo"/>
        <w:ind w:left="749"/>
      </w:pPr>
      <w:r>
        <w:rPr>
          <w:color w:val="16355C"/>
        </w:rPr>
        <w:t>Programma</w:t>
      </w:r>
      <w:r>
        <w:rPr>
          <w:color w:val="16355C"/>
          <w:spacing w:val="26"/>
        </w:rPr>
        <w:t xml:space="preserve"> </w:t>
      </w:r>
      <w:r>
        <w:rPr>
          <w:color w:val="16355C"/>
          <w:spacing w:val="-2"/>
        </w:rPr>
        <w:t>Regionale</w:t>
      </w:r>
    </w:p>
    <w:p w14:paraId="21AD46F1" w14:textId="77777777" w:rsidR="006B29FC" w:rsidRDefault="00725BF1">
      <w:pPr>
        <w:pStyle w:val="Titolo"/>
      </w:pPr>
      <w:r>
        <w:rPr>
          <w:color w:val="16355C"/>
        </w:rPr>
        <w:t>per la gestione del Rischio Clinico 2023 - 2025</w:t>
      </w:r>
    </w:p>
    <w:p w14:paraId="0F875D00" w14:textId="77777777" w:rsidR="006B29FC" w:rsidRDefault="00725BF1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333FB099" wp14:editId="2D66B912">
                <wp:simplePos x="0" y="0"/>
                <wp:positionH relativeFrom="page">
                  <wp:posOffset>720090</wp:posOffset>
                </wp:positionH>
                <wp:positionV relativeFrom="paragraph">
                  <wp:posOffset>57785</wp:posOffset>
                </wp:positionV>
                <wp:extent cx="6123305" cy="508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E80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C0EA8" id="Graphic 1" o:spid="_x0000_s1026" style="position:absolute;margin-left:56.7pt;margin-top:4.55pt;width:482.15pt;height:.4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" o:allowincell="f" path="m6119495,l,e" filled="f" strokecolor="#4e80bc" strokeweight="1pt">
                <v:path arrowok="t"/>
                <w10:wrap type="topAndBottom" anchorx="page"/>
              </v:shape>
            </w:pict>
          </mc:Fallback>
        </mc:AlternateContent>
      </w:r>
    </w:p>
    <w:p w14:paraId="57078D7C" w14:textId="77777777" w:rsidR="006B29FC" w:rsidRDefault="006B29FC">
      <w:pPr>
        <w:rPr>
          <w:sz w:val="52"/>
        </w:rPr>
      </w:pPr>
    </w:p>
    <w:p w14:paraId="57CBA8A2" w14:textId="694650FB" w:rsidR="006B29FC" w:rsidRDefault="006F62E6">
      <w:pPr>
        <w:rPr>
          <w:sz w:val="52"/>
        </w:rPr>
      </w:pPr>
      <w:r>
        <w:rPr>
          <w:sz w:val="52"/>
        </w:rPr>
        <w:t xml:space="preserve">                      SSA RISCHIO CLINICO </w:t>
      </w:r>
      <w:r w:rsidR="00DF3BF1">
        <w:rPr>
          <w:sz w:val="52"/>
        </w:rPr>
        <w:t>/ML</w:t>
      </w:r>
    </w:p>
    <w:p w14:paraId="4083572C" w14:textId="0F2F8A02" w:rsidR="00482A44" w:rsidRDefault="00482A44">
      <w:pPr>
        <w:rPr>
          <w:sz w:val="52"/>
        </w:rPr>
      </w:pPr>
      <w:r>
        <w:rPr>
          <w:sz w:val="52"/>
        </w:rPr>
        <w:t xml:space="preserve">                      REPORT ANNO 2023</w:t>
      </w:r>
    </w:p>
    <w:p w14:paraId="7BEA69F8" w14:textId="5A2C22CC" w:rsidR="006D3FC9" w:rsidRDefault="006D3FC9">
      <w:pPr>
        <w:rPr>
          <w:sz w:val="52"/>
        </w:rPr>
      </w:pPr>
      <w:r>
        <w:rPr>
          <w:sz w:val="52"/>
        </w:rPr>
        <w:t xml:space="preserve">                                 AOU AL</w:t>
      </w:r>
    </w:p>
    <w:p w14:paraId="3B113FD8" w14:textId="77777777" w:rsidR="006B29FC" w:rsidRDefault="006B29FC">
      <w:pPr>
        <w:spacing w:before="418"/>
        <w:rPr>
          <w:sz w:val="52"/>
        </w:rPr>
      </w:pPr>
    </w:p>
    <w:p w14:paraId="1FCB1803" w14:textId="77777777" w:rsidR="006B29FC" w:rsidRDefault="00725BF1">
      <w:pPr>
        <w:ind w:left="195" w:right="220"/>
        <w:jc w:val="both"/>
        <w:rPr>
          <w:sz w:val="28"/>
        </w:rPr>
      </w:pPr>
      <w:r>
        <w:rPr>
          <w:color w:val="16355C"/>
          <w:sz w:val="28"/>
        </w:rPr>
        <w:t>Il presente documento individua i contenuti utili al fine della predisposizione</w:t>
      </w:r>
      <w:r>
        <w:rPr>
          <w:color w:val="16355C"/>
          <w:spacing w:val="80"/>
          <w:sz w:val="28"/>
        </w:rPr>
        <w:t xml:space="preserve"> </w:t>
      </w:r>
      <w:r>
        <w:rPr>
          <w:color w:val="16355C"/>
          <w:sz w:val="28"/>
        </w:rPr>
        <w:t>del report annuale 2023 sulle iniziative e sui risultati delle ASR relativi alla gestione</w:t>
      </w:r>
      <w:r>
        <w:rPr>
          <w:color w:val="16355C"/>
          <w:spacing w:val="39"/>
          <w:sz w:val="28"/>
        </w:rPr>
        <w:t xml:space="preserve"> </w:t>
      </w:r>
      <w:r>
        <w:rPr>
          <w:color w:val="16355C"/>
          <w:sz w:val="28"/>
        </w:rPr>
        <w:t>del</w:t>
      </w:r>
      <w:r>
        <w:rPr>
          <w:color w:val="16355C"/>
          <w:spacing w:val="39"/>
          <w:sz w:val="28"/>
        </w:rPr>
        <w:t xml:space="preserve"> </w:t>
      </w:r>
      <w:r>
        <w:rPr>
          <w:color w:val="16355C"/>
          <w:sz w:val="28"/>
        </w:rPr>
        <w:t>Rischio</w:t>
      </w:r>
      <w:r>
        <w:rPr>
          <w:color w:val="16355C"/>
          <w:spacing w:val="39"/>
          <w:sz w:val="28"/>
        </w:rPr>
        <w:t xml:space="preserve"> </w:t>
      </w:r>
      <w:r>
        <w:rPr>
          <w:color w:val="16355C"/>
          <w:sz w:val="28"/>
        </w:rPr>
        <w:t>Clinico</w:t>
      </w:r>
      <w:r>
        <w:rPr>
          <w:color w:val="16355C"/>
          <w:spacing w:val="39"/>
          <w:sz w:val="28"/>
        </w:rPr>
        <w:t xml:space="preserve"> </w:t>
      </w:r>
      <w:r>
        <w:rPr>
          <w:color w:val="16355C"/>
          <w:sz w:val="28"/>
        </w:rPr>
        <w:t>(Tempistica</w:t>
      </w:r>
      <w:r>
        <w:rPr>
          <w:color w:val="16355C"/>
          <w:spacing w:val="40"/>
          <w:sz w:val="28"/>
        </w:rPr>
        <w:t xml:space="preserve"> </w:t>
      </w:r>
      <w:r>
        <w:rPr>
          <w:color w:val="16355C"/>
          <w:sz w:val="28"/>
        </w:rPr>
        <w:t>di</w:t>
      </w:r>
      <w:r>
        <w:rPr>
          <w:color w:val="16355C"/>
          <w:spacing w:val="40"/>
          <w:sz w:val="28"/>
        </w:rPr>
        <w:t xml:space="preserve"> </w:t>
      </w:r>
      <w:r>
        <w:rPr>
          <w:color w:val="16355C"/>
          <w:sz w:val="28"/>
        </w:rPr>
        <w:t>realizzazione:</w:t>
      </w:r>
      <w:r>
        <w:rPr>
          <w:color w:val="16355C"/>
          <w:spacing w:val="40"/>
          <w:sz w:val="28"/>
        </w:rPr>
        <w:t xml:space="preserve"> </w:t>
      </w:r>
      <w:r>
        <w:rPr>
          <w:color w:val="16355C"/>
          <w:sz w:val="28"/>
        </w:rPr>
        <w:t>entro</w:t>
      </w:r>
      <w:r>
        <w:rPr>
          <w:color w:val="16355C"/>
          <w:spacing w:val="39"/>
          <w:sz w:val="28"/>
        </w:rPr>
        <w:t xml:space="preserve"> </w:t>
      </w:r>
      <w:r>
        <w:rPr>
          <w:color w:val="16355C"/>
          <w:sz w:val="28"/>
        </w:rPr>
        <w:t>il</w:t>
      </w:r>
      <w:r>
        <w:rPr>
          <w:color w:val="16355C"/>
          <w:spacing w:val="39"/>
          <w:sz w:val="28"/>
        </w:rPr>
        <w:t xml:space="preserve"> 16</w:t>
      </w:r>
      <w:r>
        <w:rPr>
          <w:color w:val="16355C"/>
          <w:sz w:val="28"/>
        </w:rPr>
        <w:t>.02.2024)</w:t>
      </w:r>
    </w:p>
    <w:p w14:paraId="4D64FD10" w14:textId="77777777" w:rsidR="006B29FC" w:rsidRDefault="006B29FC">
      <w:pPr>
        <w:rPr>
          <w:sz w:val="28"/>
        </w:rPr>
      </w:pPr>
    </w:p>
    <w:p w14:paraId="364D1DB7" w14:textId="77777777" w:rsidR="006B29FC" w:rsidRDefault="006B29FC">
      <w:pPr>
        <w:spacing w:before="246"/>
        <w:rPr>
          <w:sz w:val="28"/>
        </w:rPr>
      </w:pPr>
    </w:p>
    <w:p w14:paraId="4779B339" w14:textId="77777777" w:rsidR="006B29FC" w:rsidRDefault="00725BF1">
      <w:pPr>
        <w:ind w:left="195" w:right="207"/>
        <w:jc w:val="both"/>
      </w:pPr>
      <w:r>
        <w:rPr>
          <w:color w:val="16355C"/>
          <w:sz w:val="28"/>
        </w:rPr>
        <w:t>Viene altresì' allegato al presente documento file excel per incident report su Eventi Avversi</w:t>
      </w:r>
      <w:r>
        <w:br w:type="page"/>
      </w:r>
    </w:p>
    <w:p w14:paraId="22DD5EF6" w14:textId="77777777" w:rsidR="006B29FC" w:rsidRDefault="006B29FC">
      <w:pPr>
        <w:ind w:left="195" w:right="207"/>
        <w:jc w:val="both"/>
      </w:pPr>
    </w:p>
    <w:p w14:paraId="2190C143" w14:textId="77777777" w:rsidR="006B29FC" w:rsidRDefault="006B29FC">
      <w:pPr>
        <w:sectPr w:rsidR="006B29FC" w:rsidSect="00FB14DF">
          <w:pgSz w:w="11906" w:h="16838"/>
          <w:pgMar w:top="1920" w:right="940" w:bottom="280" w:left="9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746" w:type="dxa"/>
        <w:tblInd w:w="17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3"/>
        <w:gridCol w:w="6283"/>
      </w:tblGrid>
      <w:tr w:rsidR="006B29FC" w14:paraId="0AD51346" w14:textId="77777777">
        <w:trPr>
          <w:trHeight w:val="842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DC2A" w14:textId="721B0BF3" w:rsidR="006B29FC" w:rsidRPr="00725BF1" w:rsidRDefault="00725BF1">
            <w:pPr>
              <w:pStyle w:val="TableParagraph"/>
              <w:spacing w:before="280"/>
              <w:ind w:left="1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6"/>
                <w:sz w:val="24"/>
              </w:rPr>
              <w:t xml:space="preserve">SSA RISCHIO CLINICO/ML  -AOU AL </w:t>
            </w:r>
            <w:r w:rsidR="00482A44">
              <w:rPr>
                <w:b/>
                <w:bCs/>
                <w:spacing w:val="6"/>
                <w:sz w:val="24"/>
              </w:rPr>
              <w:t>ANNO 2023</w:t>
            </w:r>
          </w:p>
        </w:tc>
      </w:tr>
      <w:tr w:rsidR="006B29FC" w14:paraId="615F6D55" w14:textId="77777777">
        <w:trPr>
          <w:trHeight w:val="562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1A01" w14:textId="77777777" w:rsidR="006B29FC" w:rsidRDefault="006B29F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B29FC" w14:paraId="7A00B8CE" w14:textId="77777777">
        <w:trPr>
          <w:trHeight w:val="282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2EF8" w14:textId="77777777" w:rsidR="006B29FC" w:rsidRDefault="00725BF1">
            <w:pPr>
              <w:pStyle w:val="TableParagraph"/>
              <w:spacing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6B29FC" w14:paraId="0BFAC21A" w14:textId="77777777">
        <w:trPr>
          <w:trHeight w:val="1545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B971" w14:textId="77777777" w:rsidR="006B29FC" w:rsidRDefault="00725BF1">
            <w:pPr>
              <w:pStyle w:val="TableParagraph"/>
              <w:ind w:left="72"/>
              <w:rPr>
                <w:b/>
                <w:sz w:val="28"/>
              </w:rPr>
            </w:pPr>
            <w:bookmarkStart w:id="0" w:name="​_Azione_1._Monitoraggio_sulle_iniziativ"/>
            <w:bookmarkEnd w:id="0"/>
            <w:r>
              <w:rPr>
                <w:b/>
                <w:color w:val="16355C"/>
                <w:sz w:val="28"/>
              </w:rPr>
              <w:t>Azione 1. Monitoraggio sulle iniziative e sui risultati delle ASR e delle</w:t>
            </w:r>
            <w:r>
              <w:rPr>
                <w:b/>
                <w:color w:val="16355C"/>
                <w:spacing w:val="80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Strutture sanitarie e socio-sanitarie private accreditate relativi alla</w:t>
            </w:r>
            <w:r>
              <w:rPr>
                <w:b/>
                <w:color w:val="16355C"/>
                <w:spacing w:val="40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gestione del rischio clinico e la sicurezza dei pazienti.</w:t>
            </w:r>
          </w:p>
          <w:p w14:paraId="17DCC83E" w14:textId="77777777" w:rsidR="006B29FC" w:rsidRDefault="00725BF1">
            <w:pPr>
              <w:pStyle w:val="TableParagraph"/>
              <w:spacing w:line="28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iniziative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risultati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gestione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rischio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clinico</w:t>
            </w:r>
          </w:p>
        </w:tc>
      </w:tr>
      <w:tr w:rsidR="006B29FC" w14:paraId="365B5012" w14:textId="77777777">
        <w:trPr>
          <w:trHeight w:val="1805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0F2D" w14:textId="77777777" w:rsidR="006B29FC" w:rsidRDefault="00725BF1">
            <w:pPr>
              <w:pStyle w:val="TableParagraph"/>
              <w:tabs>
                <w:tab w:val="left" w:pos="1736"/>
              </w:tabs>
              <w:ind w:left="72" w:right="58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Ob. 1.</w:t>
            </w:r>
          </w:p>
          <w:p w14:paraId="2D53FFE0" w14:textId="77777777" w:rsidR="006B29FC" w:rsidRDefault="00725BF1">
            <w:pPr>
              <w:pStyle w:val="TableParagraph"/>
              <w:tabs>
                <w:tab w:val="left" w:pos="1736"/>
              </w:tabs>
              <w:ind w:left="72" w:right="58"/>
              <w:jc w:val="both"/>
            </w:pPr>
            <w:r>
              <w:rPr>
                <w:spacing w:val="-2"/>
              </w:rPr>
              <w:t xml:space="preserve">Raccomandazioni </w:t>
            </w:r>
            <w:r>
              <w:t>ministeriali e Linee di indirizzo regionali implementate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F5A4" w14:textId="22ADC4CA" w:rsidR="006B29FC" w:rsidRDefault="00A761E4">
            <w:pPr>
              <w:pStyle w:val="TableParagraph"/>
              <w:tabs>
                <w:tab w:val="left" w:pos="4038"/>
              </w:tabs>
              <w:spacing w:line="258" w:lineRule="exact"/>
              <w:ind w:left="71" w:right="6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L’AOU AL </w:t>
            </w:r>
            <w:r w:rsidR="00A5280C">
              <w:rPr>
                <w:i/>
                <w:iCs/>
              </w:rPr>
              <w:t xml:space="preserve">ha recepito tutte le RACCOMANDAZIONI MINISTERIALI </w:t>
            </w:r>
            <w:r w:rsidR="002B622A">
              <w:rPr>
                <w:i/>
                <w:iCs/>
              </w:rPr>
              <w:t xml:space="preserve">emesse. La SSa Rischio clinico </w:t>
            </w:r>
            <w:r w:rsidR="005C52DB">
              <w:rPr>
                <w:i/>
                <w:iCs/>
              </w:rPr>
              <w:t>in collaborazione con SGQ e DMP</w:t>
            </w:r>
            <w:r w:rsidR="00453CC2">
              <w:rPr>
                <w:i/>
                <w:iCs/>
              </w:rPr>
              <w:t xml:space="preserve"> e i diversi gruppi di lavoro ha elaborato documenti necessari </w:t>
            </w:r>
            <w:r w:rsidR="001329A9">
              <w:rPr>
                <w:i/>
                <w:iCs/>
              </w:rPr>
              <w:t xml:space="preserve">alla contestualizzazione delle indicazioni fornite dalle Raccomandazioni. </w:t>
            </w:r>
            <w:r w:rsidR="000E1882">
              <w:rPr>
                <w:i/>
                <w:iCs/>
              </w:rPr>
              <w:t xml:space="preserve">Si è provveduto all’implementazione delle </w:t>
            </w:r>
            <w:r w:rsidR="00183893">
              <w:rPr>
                <w:i/>
                <w:iCs/>
              </w:rPr>
              <w:t>schede</w:t>
            </w:r>
            <w:r w:rsidR="000E1882">
              <w:rPr>
                <w:i/>
                <w:iCs/>
              </w:rPr>
              <w:t xml:space="preserve"> di competenza su applicativo AGENAS</w:t>
            </w:r>
            <w:r w:rsidR="00183893">
              <w:rPr>
                <w:i/>
                <w:iCs/>
              </w:rPr>
              <w:t xml:space="preserve"> “Monitoraggio raccomandazioni ministeriali”</w:t>
            </w:r>
          </w:p>
        </w:tc>
      </w:tr>
      <w:tr w:rsidR="006B29FC" w14:paraId="0792B82C" w14:textId="77777777">
        <w:trPr>
          <w:trHeight w:val="774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A4EB" w14:textId="77777777" w:rsidR="006B29FC" w:rsidRDefault="00725BF1">
            <w:pPr>
              <w:pStyle w:val="TableParagraph"/>
              <w:spacing w:line="258" w:lineRule="exact"/>
              <w:ind w:left="72" w:right="58"/>
              <w:jc w:val="both"/>
            </w:pPr>
            <w:r>
              <w:t>* Nel caso in cui l’Azienda abbia gia' provveduto all’implementazione delle schede di competenza su applicativo AGENAS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 xml:space="preserve">“Monitoraggio raccomandazioni ministeriali”, </w:t>
            </w:r>
            <w:r>
              <w:t>entro i termini previsti, l’adempimento verra'</w:t>
            </w:r>
            <w:r>
              <w:rPr>
                <w:spacing w:val="39"/>
              </w:rPr>
              <w:t xml:space="preserve"> </w:t>
            </w:r>
            <w:r>
              <w:t>verificato su detto applicativo</w:t>
            </w:r>
          </w:p>
        </w:tc>
      </w:tr>
      <w:tr w:rsidR="006B29FC" w14:paraId="58D1C89C" w14:textId="77777777">
        <w:trPr>
          <w:trHeight w:val="268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1992" w14:textId="77777777" w:rsidR="006B29FC" w:rsidRDefault="006B29FC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B29FC" w14:paraId="0FF1089A" w14:textId="77777777">
        <w:trPr>
          <w:trHeight w:val="18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E8F5" w14:textId="77777777" w:rsidR="006B29FC" w:rsidRDefault="00725BF1">
            <w:pPr>
              <w:pStyle w:val="TableParagraph"/>
              <w:tabs>
                <w:tab w:val="left" w:pos="2428"/>
              </w:tabs>
              <w:spacing w:before="1"/>
              <w:ind w:left="72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Ob. 2</w:t>
            </w:r>
          </w:p>
          <w:p w14:paraId="2E3AC224" w14:textId="77777777" w:rsidR="006B29FC" w:rsidRDefault="00725BF1">
            <w:pPr>
              <w:pStyle w:val="TableParagraph"/>
              <w:tabs>
                <w:tab w:val="left" w:pos="2428"/>
              </w:tabs>
              <w:spacing w:before="1"/>
              <w:ind w:left="72"/>
              <w:rPr>
                <w:spacing w:val="-2"/>
              </w:rPr>
            </w:pPr>
            <w:r>
              <w:rPr>
                <w:spacing w:val="-2"/>
              </w:rPr>
              <w:t>Monitoraggio, implementazione e adeguamento buone pratiche clinico-assistenziali e raccomandazioni pubblicate su SNLG-ISS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AF55" w14:textId="227DD124" w:rsidR="006B29FC" w:rsidRDefault="00685D4A" w:rsidP="002958CC">
            <w:pPr>
              <w:pStyle w:val="TableParagraph"/>
              <w:spacing w:before="1"/>
              <w:rPr>
                <w:i/>
                <w:iCs/>
              </w:rPr>
            </w:pPr>
            <w:r>
              <w:rPr>
                <w:i/>
                <w:iCs/>
                <w:spacing w:val="-2"/>
              </w:rPr>
              <w:t xml:space="preserve">GRUPPO DI LAVORO PER REV. DVA 76 “ANOMALIE </w:t>
            </w:r>
            <w:r w:rsidR="004250F9">
              <w:rPr>
                <w:i/>
                <w:iCs/>
                <w:spacing w:val="-2"/>
              </w:rPr>
              <w:t>DEL COMPORTAMENTO”-</w:t>
            </w:r>
            <w:r w:rsidR="008D4D4D">
              <w:rPr>
                <w:i/>
                <w:iCs/>
                <w:spacing w:val="-2"/>
              </w:rPr>
              <w:t>REV. SCHEDA DI UTILIZZO DELLA CONTENZIONE E SCHEDA DI ASSISTENZA AL PZ CONTENUTO-</w:t>
            </w:r>
            <w:r w:rsidR="001E16B2">
              <w:rPr>
                <w:i/>
                <w:iCs/>
                <w:spacing w:val="-2"/>
              </w:rPr>
              <w:t xml:space="preserve">REV. DVA 61 “PREVENZIONE DEGLI ERRORI IN TERAPIA CON FARMACI ANTINEOPLASTICI”- </w:t>
            </w:r>
            <w:r w:rsidR="00100629">
              <w:rPr>
                <w:i/>
                <w:iCs/>
                <w:spacing w:val="-2"/>
              </w:rPr>
              <w:t>REV. DVA 64</w:t>
            </w:r>
            <w:r w:rsidR="002D092D">
              <w:rPr>
                <w:i/>
                <w:iCs/>
                <w:spacing w:val="-2"/>
              </w:rPr>
              <w:t>”</w:t>
            </w:r>
            <w:r w:rsidR="00391632">
              <w:rPr>
                <w:i/>
                <w:iCs/>
                <w:spacing w:val="-2"/>
              </w:rPr>
              <w:t>PREVENZIONE E GESTIONE AGGRESSIONI VERSO GLI OPERATORI” -</w:t>
            </w:r>
            <w:r w:rsidR="00AC677E">
              <w:rPr>
                <w:i/>
                <w:iCs/>
                <w:spacing w:val="-2"/>
              </w:rPr>
              <w:t xml:space="preserve">DVA 116”GESTIONE DEL PZ EMOFILICO </w:t>
            </w:r>
            <w:r w:rsidR="0089606C">
              <w:rPr>
                <w:i/>
                <w:iCs/>
                <w:spacing w:val="-2"/>
              </w:rPr>
              <w:t>CHE ACCEDE AL PS” -DVA 95 “PERCORSO PREOPERATORIO PER CHIRURGIA DI ELEZIONE”</w:t>
            </w:r>
            <w:r w:rsidR="00FF0A04">
              <w:rPr>
                <w:i/>
                <w:iCs/>
                <w:spacing w:val="-2"/>
              </w:rPr>
              <w:t xml:space="preserve"> – GRUPPO DI LAVORO PER REVISIONE DELLA CHECK LIST DI SICUREZZA NEL BLOCCO OPERATORIO - </w:t>
            </w:r>
            <w:r w:rsidR="006841D2">
              <w:rPr>
                <w:i/>
                <w:iCs/>
                <w:spacing w:val="-2"/>
              </w:rPr>
              <w:t xml:space="preserve"> REV. DVA 77 “ PIANO DI RISPOSTA </w:t>
            </w:r>
            <w:r w:rsidR="00B46E9D">
              <w:rPr>
                <w:i/>
                <w:iCs/>
                <w:spacing w:val="-2"/>
              </w:rPr>
              <w:t xml:space="preserve">ALLE EMERGENZE CLINICHE E INTRAOSPEDALIERE” – REV DVA 11 </w:t>
            </w:r>
            <w:r w:rsidR="00541B66">
              <w:rPr>
                <w:i/>
                <w:iCs/>
                <w:spacing w:val="-2"/>
              </w:rPr>
              <w:t>PREVENZIONE CADUTE”-DVA 122 REVISIONE DOCUEMNTO TSE</w:t>
            </w:r>
            <w:r w:rsidR="00875B8E">
              <w:rPr>
                <w:i/>
                <w:iCs/>
                <w:spacing w:val="-2"/>
              </w:rPr>
              <w:t xml:space="preserve"> – DVA 127 “NUOVO REGOLAMENTO BLOCCHI OPERATORI”DVA 128 “GESTIONE DEI PAZIENTI TALASSEMICI”</w:t>
            </w:r>
            <w:r w:rsidR="00F14B34">
              <w:rPr>
                <w:i/>
                <w:iCs/>
                <w:spacing w:val="-2"/>
              </w:rPr>
              <w:t xml:space="preserve"> – DVA 60 “PROTOCOLLO PER LA PRESCRIZIONE DEI NUOVI ANTICOAGULANTI ORALI”</w:t>
            </w:r>
            <w:r w:rsidR="006D58A1">
              <w:rPr>
                <w:i/>
                <w:iCs/>
                <w:spacing w:val="-2"/>
              </w:rPr>
              <w:t>- REVISIONE DEL DOCUMNTO “GESTIONE PERIOPERATORIA DEL PZ” -</w:t>
            </w:r>
            <w:r w:rsidR="00027F41">
              <w:rPr>
                <w:i/>
                <w:iCs/>
                <w:spacing w:val="-2"/>
              </w:rPr>
              <w:t>DVA 71 “GESTIONE DEL PZ CON DREPANOCITOSI: PZ IN PS</w:t>
            </w:r>
            <w:r w:rsidR="00FA6C9F">
              <w:rPr>
                <w:i/>
                <w:iCs/>
                <w:spacing w:val="-2"/>
              </w:rPr>
              <w:t xml:space="preserve">-PZ AMBULATORIALE” – </w:t>
            </w:r>
            <w:r w:rsidR="004E5143">
              <w:rPr>
                <w:i/>
                <w:iCs/>
                <w:spacing w:val="-2"/>
              </w:rPr>
              <w:t xml:space="preserve"> GRUPPO DI LAVORO SU GESTIONE INTOSSICAZIONI -DVA 11 REVISIONE DOCUMNTO PER ACCESSI</w:t>
            </w:r>
            <w:r w:rsidR="00053B41">
              <w:rPr>
                <w:i/>
                <w:iCs/>
                <w:spacing w:val="-2"/>
              </w:rPr>
              <w:t xml:space="preserve"> IN OSPEDALE IN EPOCA COVID”</w:t>
            </w:r>
            <w:r w:rsidR="006412C4">
              <w:rPr>
                <w:i/>
                <w:iCs/>
                <w:spacing w:val="-2"/>
              </w:rPr>
              <w:t xml:space="preserve"> -DVA 113 “TRAPIANTO MICROBIOTA INTESTINALE-CONSENSO </w:t>
            </w:r>
            <w:r w:rsidR="002B3A01">
              <w:rPr>
                <w:i/>
                <w:iCs/>
                <w:spacing w:val="-2"/>
              </w:rPr>
              <w:t xml:space="preserve">RICEVENTE, CONSENSO DONATORE” -REV. DVA </w:t>
            </w:r>
            <w:r w:rsidR="00C15109">
              <w:rPr>
                <w:i/>
                <w:iCs/>
                <w:spacing w:val="-2"/>
              </w:rPr>
              <w:t>12 “PROFILASSI POSTESPOSISIZIONE PER HIV-HCV-HBV” -</w:t>
            </w:r>
            <w:r w:rsidR="00BA6AC5">
              <w:rPr>
                <w:i/>
                <w:iCs/>
                <w:spacing w:val="-2"/>
              </w:rPr>
              <w:t xml:space="preserve">REV. DVA 118 “GESTIONE DECESSI” – DVA 134 RADIOPROTEZIONE LAVORATORI INTERNI ED ESTERNI </w:t>
            </w:r>
            <w:r w:rsidR="00013B26">
              <w:rPr>
                <w:i/>
                <w:iCs/>
                <w:spacing w:val="-2"/>
              </w:rPr>
              <w:t xml:space="preserve">– DOCUEMNTO A VALENZA AZIENDALE POSISIONAMENTO SNG </w:t>
            </w:r>
            <w:r w:rsidR="00F96517">
              <w:rPr>
                <w:i/>
                <w:iCs/>
                <w:spacing w:val="-2"/>
              </w:rPr>
              <w:t xml:space="preserve"> - REVISIONE SCHEDA P.R.I.M.A. </w:t>
            </w:r>
            <w:r w:rsidR="00576265">
              <w:rPr>
                <w:i/>
                <w:iCs/>
                <w:spacing w:val="-2"/>
              </w:rPr>
              <w:t>-P.R.I.M.A. POSTOPERATORIA – SCHEDA OSTETRICA-</w:t>
            </w:r>
            <w:r w:rsidR="0084203F">
              <w:rPr>
                <w:i/>
                <w:iCs/>
                <w:spacing w:val="-2"/>
              </w:rPr>
              <w:t xml:space="preserve"> REV. DVA 42 “PREVENZIONE MORTE MATERNA”</w:t>
            </w:r>
          </w:p>
        </w:tc>
      </w:tr>
      <w:tr w:rsidR="006B29FC" w14:paraId="38B052AC" w14:textId="77777777">
        <w:trPr>
          <w:trHeight w:val="257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C2AE" w14:textId="77777777" w:rsidR="006B29FC" w:rsidRDefault="006B29FC">
            <w:pPr>
              <w:pStyle w:val="TableParagraph"/>
              <w:rPr>
                <w:rFonts w:ascii="Times New Roman" w:hAnsi="Times New Roman"/>
                <w:i/>
                <w:iCs/>
                <w:sz w:val="18"/>
              </w:rPr>
            </w:pPr>
          </w:p>
        </w:tc>
      </w:tr>
      <w:tr w:rsidR="006B29FC" w:rsidRPr="00211533" w14:paraId="4F87D17D" w14:textId="77777777">
        <w:trPr>
          <w:trHeight w:val="773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5292" w14:textId="77777777" w:rsidR="006B29FC" w:rsidRDefault="00725BF1">
            <w:pPr>
              <w:pStyle w:val="TableParagraph"/>
              <w:tabs>
                <w:tab w:val="left" w:pos="2428"/>
              </w:tabs>
              <w:spacing w:before="1"/>
              <w:ind w:left="72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Ob. 3.</w:t>
            </w:r>
          </w:p>
          <w:p w14:paraId="0D4C8CD3" w14:textId="77777777" w:rsidR="006B29FC" w:rsidRDefault="00725BF1">
            <w:pPr>
              <w:pStyle w:val="TableParagraph"/>
              <w:tabs>
                <w:tab w:val="left" w:pos="2428"/>
              </w:tabs>
              <w:spacing w:before="1"/>
              <w:ind w:left="72"/>
            </w:pPr>
            <w:r>
              <w:rPr>
                <w:spacing w:val="-2"/>
              </w:rPr>
              <w:t>Azioni</w:t>
            </w:r>
            <w:r>
              <w:tab/>
            </w:r>
            <w:r>
              <w:rPr>
                <w:spacing w:val="-2"/>
              </w:rPr>
              <w:t>finalizzate</w:t>
            </w:r>
          </w:p>
          <w:p w14:paraId="4CC32FB3" w14:textId="77777777" w:rsidR="006B29FC" w:rsidRDefault="00725BF1">
            <w:pPr>
              <w:pStyle w:val="TableParagraph"/>
              <w:spacing w:line="250" w:lineRule="atLeast"/>
              <w:ind w:left="72"/>
            </w:pPr>
            <w:r>
              <w:t>all’implementazione</w:t>
            </w:r>
            <w:r>
              <w:rPr>
                <w:spacing w:val="66"/>
              </w:rPr>
              <w:t xml:space="preserve"> </w:t>
            </w:r>
            <w:r>
              <w:t>di</w:t>
            </w:r>
            <w:r>
              <w:rPr>
                <w:spacing w:val="67"/>
              </w:rPr>
              <w:t xml:space="preserve"> </w:t>
            </w:r>
            <w:r>
              <w:t xml:space="preserve">campagne </w:t>
            </w:r>
            <w:r>
              <w:lastRenderedPageBreak/>
              <w:t>per la sicurezza del paziente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FFAF" w14:textId="77777777" w:rsidR="006B29FC" w:rsidRDefault="007F16D0">
            <w:pPr>
              <w:pStyle w:val="TableParagraph"/>
              <w:spacing w:before="1"/>
              <w:ind w:left="71"/>
              <w:rPr>
                <w:i/>
                <w:iCs/>
              </w:rPr>
            </w:pPr>
            <w:r w:rsidRPr="00211533">
              <w:rPr>
                <w:i/>
                <w:iCs/>
              </w:rPr>
              <w:lastRenderedPageBreak/>
              <w:t>-</w:t>
            </w:r>
            <w:r w:rsidR="005F2B89" w:rsidRPr="00211533">
              <w:rPr>
                <w:i/>
                <w:iCs/>
              </w:rPr>
              <w:t>CALL FOR GOOD PRACTICE 2023 – “SICUREZZA</w:t>
            </w:r>
            <w:r w:rsidR="00211533" w:rsidRPr="00211533">
              <w:rPr>
                <w:i/>
                <w:iCs/>
              </w:rPr>
              <w:t xml:space="preserve"> E INGAGGIO DEL</w:t>
            </w:r>
            <w:r w:rsidR="00211533">
              <w:rPr>
                <w:i/>
                <w:iCs/>
              </w:rPr>
              <w:t xml:space="preserve"> PAZIENTE” -SSA RISCHIO CLINICO </w:t>
            </w:r>
            <w:r w:rsidR="002B48BB">
              <w:rPr>
                <w:i/>
                <w:iCs/>
              </w:rPr>
              <w:t>–</w:t>
            </w:r>
            <w:r w:rsidR="00211533">
              <w:rPr>
                <w:i/>
                <w:iCs/>
              </w:rPr>
              <w:t xml:space="preserve"> </w:t>
            </w:r>
            <w:r w:rsidR="002B48BB">
              <w:rPr>
                <w:i/>
                <w:iCs/>
              </w:rPr>
              <w:t xml:space="preserve">FORMAZIONE  COMUNICAZIONE  FUNDRAISING E PROCESSI AMMNISTRATIVI </w:t>
            </w:r>
            <w:r w:rsidR="002B48BB">
              <w:rPr>
                <w:i/>
                <w:iCs/>
              </w:rPr>
              <w:lastRenderedPageBreak/>
              <w:t xml:space="preserve">DAIRI </w:t>
            </w:r>
          </w:p>
          <w:p w14:paraId="7709D6F1" w14:textId="58A7221A" w:rsidR="00477BEB" w:rsidRPr="00211533" w:rsidRDefault="00477BEB">
            <w:pPr>
              <w:pStyle w:val="TableParagraph"/>
              <w:spacing w:before="1"/>
              <w:ind w:left="71"/>
              <w:rPr>
                <w:i/>
                <w:iCs/>
              </w:rPr>
            </w:pPr>
            <w:r>
              <w:rPr>
                <w:i/>
                <w:iCs/>
              </w:rPr>
              <w:t xml:space="preserve">COM PARTECIPAZIONE E PRESENTAZIONE DELL BUONA PRATICA IL 13 SETTEMBRE </w:t>
            </w:r>
            <w:r w:rsidR="00421E4F">
              <w:rPr>
                <w:i/>
                <w:iCs/>
              </w:rPr>
              <w:t>2023-  RISCHIO CLINICO REGIONE PIEMONTE- TORINO</w:t>
            </w:r>
          </w:p>
        </w:tc>
      </w:tr>
      <w:tr w:rsidR="006B29FC" w:rsidRPr="00211533" w14:paraId="4B13A921" w14:textId="77777777">
        <w:trPr>
          <w:trHeight w:val="257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7EA8" w14:textId="77777777" w:rsidR="006B29FC" w:rsidRPr="00211533" w:rsidRDefault="006B29FC">
            <w:pPr>
              <w:pStyle w:val="TableParagraph"/>
              <w:rPr>
                <w:rFonts w:ascii="Times New Roman" w:hAnsi="Times New Roman"/>
                <w:i/>
                <w:iCs/>
                <w:sz w:val="18"/>
              </w:rPr>
            </w:pPr>
          </w:p>
        </w:tc>
      </w:tr>
      <w:tr w:rsidR="006B29FC" w14:paraId="7C9AFEBE" w14:textId="77777777">
        <w:trPr>
          <w:trHeight w:val="232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365F" w14:textId="77777777" w:rsidR="006B29FC" w:rsidRDefault="00725BF1">
            <w:pPr>
              <w:pStyle w:val="TableParagraph"/>
              <w:spacing w:before="1"/>
              <w:ind w:left="72" w:right="6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Ob. 4.</w:t>
            </w:r>
          </w:p>
          <w:p w14:paraId="22CEBD1F" w14:textId="77777777" w:rsidR="006B29FC" w:rsidRDefault="00725BF1">
            <w:pPr>
              <w:pStyle w:val="TableParagraph"/>
              <w:spacing w:before="1"/>
              <w:ind w:left="72" w:right="61"/>
              <w:jc w:val="both"/>
            </w:pPr>
            <w:r>
              <w:t>Monitoraggio dello stato dell’arte nelle strutture sanitarie e socio- sanitarie private e accreditate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033C" w14:textId="77777777" w:rsidR="006B29FC" w:rsidRDefault="00725BF1">
            <w:pPr>
              <w:pStyle w:val="TableParagraph"/>
              <w:spacing w:line="250" w:lineRule="atLeast"/>
              <w:ind w:left="71" w:right="6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Relazione su modalità di gestione del rischio poste in essere nei servizi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erogati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a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livello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territoriali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(sistemi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di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incident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reporting,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procedura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gestione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cadute,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presenza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check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list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in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Sala operatoria nelle U.O. Chirurgiche delle Strutture private accreditate, presenza procedure/protocolli su processo somministrazione farmaci e riconciliazione della terapia, monitoraggio criteri di gestione emergenza intraospedaliera, procedure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di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prevenzione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controllo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delle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infezioni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adottate nelle strutture socio-sanitarie RSA regionali)</w:t>
            </w:r>
          </w:p>
        </w:tc>
      </w:tr>
      <w:tr w:rsidR="006B29FC" w14:paraId="656DF029" w14:textId="77777777">
        <w:trPr>
          <w:trHeight w:val="562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B93B" w14:textId="77777777" w:rsidR="006B29FC" w:rsidRDefault="006B29F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B29FC" w14:paraId="24A8A167" w14:textId="77777777">
        <w:trPr>
          <w:trHeight w:val="361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4C08" w14:textId="77777777" w:rsidR="006B29FC" w:rsidRDefault="00725BF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6B29FC" w14:paraId="0D62848F" w14:textId="77777777">
        <w:trPr>
          <w:trHeight w:val="678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C5BB" w14:textId="77777777" w:rsidR="006B29FC" w:rsidRDefault="00725BF1">
            <w:pPr>
              <w:pStyle w:val="TableParagraph"/>
              <w:ind w:left="72"/>
              <w:rPr>
                <w:b/>
                <w:sz w:val="28"/>
              </w:rPr>
            </w:pPr>
            <w:r>
              <w:rPr>
                <w:b/>
                <w:color w:val="16355C"/>
                <w:sz w:val="28"/>
              </w:rPr>
              <w:t>Azione 2. Monitoraggio delle attività di gestione e comunicazione degli</w:t>
            </w:r>
            <w:r>
              <w:rPr>
                <w:b/>
                <w:color w:val="16355C"/>
                <w:spacing w:val="80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eventi avversi</w:t>
            </w:r>
          </w:p>
        </w:tc>
      </w:tr>
      <w:tr w:rsidR="006B29FC" w14:paraId="0DFC73F8" w14:textId="77777777">
        <w:trPr>
          <w:trHeight w:val="774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0B8A" w14:textId="77777777" w:rsidR="006B29FC" w:rsidRDefault="00725BF1">
            <w:pPr>
              <w:pStyle w:val="TableParagraph"/>
              <w:spacing w:line="258" w:lineRule="exact"/>
              <w:ind w:left="72" w:right="62"/>
              <w:jc w:val="both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Ob.  1</w:t>
            </w:r>
          </w:p>
          <w:p w14:paraId="3FBB5957" w14:textId="77777777" w:rsidR="006B29FC" w:rsidRDefault="00725BF1">
            <w:pPr>
              <w:pStyle w:val="TableParagraph"/>
              <w:spacing w:line="258" w:lineRule="exact"/>
              <w:ind w:left="72" w:right="62"/>
              <w:jc w:val="both"/>
              <w:rPr>
                <w:spacing w:val="-10"/>
              </w:rPr>
            </w:pPr>
            <w:r>
              <w:rPr>
                <w:spacing w:val="-10"/>
              </w:rPr>
              <w:t>Incident  report su E.A. rilevati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3EE4" w14:textId="6CA462E3" w:rsidR="006B29FC" w:rsidRDefault="00725BF1">
            <w:pPr>
              <w:pStyle w:val="TableParagraph"/>
              <w:spacing w:line="258" w:lineRule="exact"/>
              <w:ind w:left="72" w:right="62"/>
              <w:jc w:val="both"/>
              <w:rPr>
                <w:i/>
                <w:iCs/>
              </w:rPr>
            </w:pPr>
            <w:r>
              <w:rPr>
                <w:i/>
                <w:iCs/>
                <w:spacing w:val="-10"/>
              </w:rPr>
              <w:t>Compilazione excel trasmesso in allegato su E.A. rilevati</w:t>
            </w:r>
            <w:r w:rsidR="00D71CAC">
              <w:rPr>
                <w:i/>
                <w:iCs/>
                <w:spacing w:val="-10"/>
              </w:rPr>
              <w:t xml:space="preserve">- </w:t>
            </w:r>
            <w:r w:rsidR="00345ADF">
              <w:rPr>
                <w:i/>
                <w:iCs/>
                <w:spacing w:val="-10"/>
              </w:rPr>
              <w:t xml:space="preserve">e  </w:t>
            </w:r>
            <w:r w:rsidR="00345ADF">
              <w:rPr>
                <w:i/>
              </w:rPr>
              <w:t xml:space="preserve">“Relazione annuale consuntiva degli eventi avversi ex art. 2 comma 5 della legge 8 marzo 2017, n. 24”  </w:t>
            </w:r>
            <w:r w:rsidR="000C76BC">
              <w:rPr>
                <w:i/>
              </w:rPr>
              <w:t>.</w:t>
            </w:r>
          </w:p>
        </w:tc>
      </w:tr>
      <w:tr w:rsidR="006B29FC" w14:paraId="500F9B80" w14:textId="77777777">
        <w:trPr>
          <w:trHeight w:val="338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9AFB" w14:textId="77777777" w:rsidR="006B29FC" w:rsidRDefault="006B29FC">
            <w:pPr>
              <w:pStyle w:val="TableParagraph"/>
              <w:spacing w:line="258" w:lineRule="exact"/>
              <w:ind w:left="72" w:right="62"/>
              <w:jc w:val="both"/>
            </w:pP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5745" w14:textId="77777777" w:rsidR="006B29FC" w:rsidRDefault="006B29FC">
            <w:pPr>
              <w:pStyle w:val="TableParagraph"/>
              <w:spacing w:line="258" w:lineRule="exact"/>
              <w:ind w:left="71" w:right="69"/>
              <w:jc w:val="both"/>
              <w:rPr>
                <w:i/>
              </w:rPr>
            </w:pPr>
          </w:p>
        </w:tc>
      </w:tr>
      <w:tr w:rsidR="006B29FC" w14:paraId="4F64BDBC" w14:textId="77777777">
        <w:trPr>
          <w:trHeight w:val="1151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6880" w14:textId="77777777" w:rsidR="006B29FC" w:rsidRDefault="00725BF1">
            <w:pPr>
              <w:pStyle w:val="TableParagraph"/>
              <w:spacing w:line="258" w:lineRule="exact"/>
              <w:ind w:left="72" w:right="6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Ob. 2</w:t>
            </w:r>
          </w:p>
          <w:p w14:paraId="402EB8A9" w14:textId="77777777" w:rsidR="006B29FC" w:rsidRDefault="00725BF1">
            <w:pPr>
              <w:pStyle w:val="TableParagraph"/>
              <w:spacing w:line="258" w:lineRule="exact"/>
              <w:ind w:left="72" w:right="62"/>
              <w:jc w:val="both"/>
            </w:pPr>
            <w:r>
              <w:t>Report annuale di monitoraggio sulle azioni di miglioramento programmate</w:t>
            </w:r>
            <w:r>
              <w:rPr>
                <w:spacing w:val="72"/>
              </w:rPr>
              <w:t xml:space="preserve"> </w:t>
            </w:r>
            <w:r>
              <w:t>ed</w:t>
            </w:r>
            <w:r>
              <w:rPr>
                <w:spacing w:val="72"/>
              </w:rPr>
              <w:t xml:space="preserve"> </w:t>
            </w:r>
            <w:r>
              <w:t>implementate a livello aziendale</w:t>
            </w:r>
          </w:p>
        </w:tc>
        <w:tc>
          <w:tcPr>
            <w:tcW w:w="6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341" w14:textId="10913D82" w:rsidR="006C450F" w:rsidRDefault="00725BF1" w:rsidP="006C450F">
            <w:pPr>
              <w:rPr>
                <w:rFonts w:ascii="Aptos" w:eastAsia="Times New Roman" w:hAnsi="Aptos" w:cs="Aptos"/>
              </w:rPr>
            </w:pPr>
            <w:r>
              <w:rPr>
                <w:i/>
              </w:rPr>
              <w:t>L’adempimento può essere verificato nella “Relazione annuale consuntiva degli eventi avversi ex art. 2 comma 5 della legge 8 marzo 2017, n. 24”  da trasmettere in allegato al report oppure indicando il link ove reperirla</w:t>
            </w:r>
            <w:r w:rsidR="006C450F">
              <w:rPr>
                <w:i/>
              </w:rPr>
              <w:t>:</w:t>
            </w:r>
            <w:r w:rsidR="006C450F">
              <w:rPr>
                <w:rFonts w:eastAsia="Times New Roman"/>
                <w:color w:val="000000"/>
              </w:rPr>
              <w:t xml:space="preserve"> </w:t>
            </w:r>
            <w:hyperlink r:id="rId5" w:history="1">
              <w:r w:rsidR="006C450F">
                <w:rPr>
                  <w:rStyle w:val="Collegamentoipertestuale"/>
                  <w:rFonts w:eastAsia="Times New Roman"/>
                </w:rPr>
                <w:t>https://www.ospedale.al.it/it/struttura-sanitaria/rischio-clinico</w:t>
              </w:r>
            </w:hyperlink>
          </w:p>
          <w:p w14:paraId="5B6F1425" w14:textId="386B89C6" w:rsidR="006B29FC" w:rsidRDefault="006B29FC">
            <w:pPr>
              <w:pStyle w:val="TableParagraph"/>
              <w:spacing w:line="258" w:lineRule="exact"/>
              <w:ind w:left="71" w:right="69"/>
              <w:jc w:val="both"/>
              <w:rPr>
                <w:i/>
              </w:rPr>
            </w:pPr>
          </w:p>
        </w:tc>
      </w:tr>
    </w:tbl>
    <w:p w14:paraId="66CFBD85" w14:textId="77777777" w:rsidR="006B29FC" w:rsidRDefault="006B29FC">
      <w:pPr>
        <w:spacing w:line="258" w:lineRule="exact"/>
        <w:jc w:val="both"/>
      </w:pPr>
    </w:p>
    <w:p w14:paraId="4AA68A8E" w14:textId="77777777" w:rsidR="006B29FC" w:rsidRDefault="006B29FC"/>
    <w:p w14:paraId="721E515C" w14:textId="77777777" w:rsidR="006B29FC" w:rsidRDefault="006B29FC"/>
    <w:p w14:paraId="10242638" w14:textId="77777777" w:rsidR="006B29FC" w:rsidRDefault="006B29FC"/>
    <w:p w14:paraId="55DAE61E" w14:textId="77777777" w:rsidR="006B29FC" w:rsidRDefault="006B29FC"/>
    <w:p w14:paraId="49BAFA71" w14:textId="77777777" w:rsidR="006B29FC" w:rsidRDefault="006B29FC">
      <w:pPr>
        <w:sectPr w:rsidR="006B29FC" w:rsidSect="00FB14DF">
          <w:type w:val="continuous"/>
          <w:pgSz w:w="11906" w:h="16838"/>
          <w:pgMar w:top="1920" w:right="940" w:bottom="280" w:left="9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746" w:type="dxa"/>
        <w:tblInd w:w="17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75"/>
        <w:gridCol w:w="6271"/>
      </w:tblGrid>
      <w:tr w:rsidR="006B29FC" w14:paraId="58470983" w14:textId="77777777">
        <w:trPr>
          <w:trHeight w:val="280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052" w14:textId="77777777" w:rsidR="006B29FC" w:rsidRDefault="00725BF1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</w:tr>
      <w:tr w:rsidR="006B29FC" w14:paraId="421DFC0B" w14:textId="77777777">
        <w:trPr>
          <w:trHeight w:val="328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CA9F" w14:textId="77777777" w:rsidR="006B29FC" w:rsidRDefault="00725BF1">
            <w:pPr>
              <w:pStyle w:val="TableParagraph"/>
              <w:spacing w:line="308" w:lineRule="exact"/>
              <w:ind w:left="72"/>
              <w:rPr>
                <w:b/>
                <w:sz w:val="28"/>
              </w:rPr>
            </w:pPr>
            <w:r>
              <w:rPr>
                <w:b/>
                <w:color w:val="16355C"/>
                <w:sz w:val="28"/>
              </w:rPr>
              <w:t>Azione</w:t>
            </w:r>
            <w:r>
              <w:rPr>
                <w:b/>
                <w:color w:val="16355C"/>
                <w:spacing w:val="25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3.</w:t>
            </w:r>
            <w:r>
              <w:rPr>
                <w:b/>
                <w:color w:val="16355C"/>
                <w:spacing w:val="27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Prevenzione</w:t>
            </w:r>
            <w:r>
              <w:rPr>
                <w:b/>
                <w:color w:val="16355C"/>
                <w:spacing w:val="27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delle</w:t>
            </w:r>
            <w:r>
              <w:rPr>
                <w:b/>
                <w:color w:val="16355C"/>
                <w:spacing w:val="31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cadute</w:t>
            </w:r>
            <w:r>
              <w:rPr>
                <w:b/>
                <w:color w:val="16355C"/>
                <w:spacing w:val="27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nelle</w:t>
            </w:r>
            <w:r>
              <w:rPr>
                <w:b/>
                <w:color w:val="16355C"/>
                <w:spacing w:val="31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strutture</w:t>
            </w:r>
            <w:r>
              <w:rPr>
                <w:b/>
                <w:color w:val="16355C"/>
                <w:spacing w:val="28"/>
                <w:sz w:val="28"/>
              </w:rPr>
              <w:t xml:space="preserve"> </w:t>
            </w:r>
            <w:r>
              <w:rPr>
                <w:b/>
                <w:color w:val="16355C"/>
                <w:spacing w:val="-2"/>
                <w:sz w:val="28"/>
              </w:rPr>
              <w:t>sanitarie</w:t>
            </w:r>
          </w:p>
        </w:tc>
      </w:tr>
      <w:tr w:rsidR="006B29FC" w14:paraId="216A6E1E" w14:textId="77777777">
        <w:trPr>
          <w:trHeight w:val="1031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1A60" w14:textId="77777777" w:rsidR="006B29FC" w:rsidRDefault="00725BF1">
            <w:pPr>
              <w:pStyle w:val="TableParagraph"/>
              <w:spacing w:line="250" w:lineRule="atLeast"/>
              <w:ind w:left="72" w:right="6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Ob. 1</w:t>
            </w:r>
          </w:p>
          <w:p w14:paraId="290F8954" w14:textId="77777777" w:rsidR="006B29FC" w:rsidRDefault="00725BF1">
            <w:pPr>
              <w:pStyle w:val="TableParagraph"/>
              <w:spacing w:line="250" w:lineRule="atLeast"/>
              <w:ind w:left="72" w:right="69"/>
              <w:jc w:val="both"/>
            </w:pPr>
            <w:r>
              <w:t>Report aziendale relativo al numero degli eventi in ospedale per anno e stratificato per</w:t>
            </w:r>
            <w:r>
              <w:rPr>
                <w:spacing w:val="40"/>
              </w:rPr>
              <w:t xml:space="preserve"> </w:t>
            </w:r>
            <w:r>
              <w:t>Struttura complessa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4F10" w14:textId="77777777" w:rsidR="006B29FC" w:rsidRPr="002136EB" w:rsidRDefault="00F53463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  <w:r w:rsidRPr="002136EB">
              <w:rPr>
                <w:iCs/>
              </w:rPr>
              <w:t>REV DVA 11  “</w:t>
            </w:r>
            <w:r w:rsidR="007A6808" w:rsidRPr="002136EB">
              <w:rPr>
                <w:iCs/>
              </w:rPr>
              <w:t>PREVENZIONE CADUTE” LAVORO DI GRUPPO CON INCONTRI INIZIATI A MAGGIO E TERMNATI A DICEMBRE 2023</w:t>
            </w:r>
            <w:r w:rsidR="00CF6BC0" w:rsidRPr="002136EB">
              <w:rPr>
                <w:iCs/>
              </w:rPr>
              <w:t>.</w:t>
            </w:r>
          </w:p>
          <w:p w14:paraId="3946FB68" w14:textId="77777777" w:rsidR="000F763A" w:rsidRPr="002136EB" w:rsidRDefault="000F763A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</w:p>
          <w:p w14:paraId="517E9120" w14:textId="638D07ED" w:rsidR="000F763A" w:rsidRPr="002136EB" w:rsidRDefault="00ED2700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  <w:r w:rsidRPr="002136EB">
              <w:rPr>
                <w:iCs/>
                <w:noProof/>
              </w:rPr>
              <w:drawing>
                <wp:anchor distT="0" distB="0" distL="114300" distR="114300" simplePos="0" relativeHeight="251657728" behindDoc="0" locked="0" layoutInCell="1" allowOverlap="1" wp14:anchorId="7A6C06DF" wp14:editId="70CA594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79375</wp:posOffset>
                  </wp:positionV>
                  <wp:extent cx="104775" cy="45720"/>
                  <wp:effectExtent l="0" t="0" r="9525" b="11430"/>
                  <wp:wrapSquare wrapText="bothSides"/>
                  <wp:docPr id="108681140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33434F-6F13-8B95-4C3A-EAD49976A1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anchor>
              </w:drawing>
            </w:r>
          </w:p>
          <w:p w14:paraId="29D48387" w14:textId="77777777" w:rsidR="000F763A" w:rsidRPr="002136EB" w:rsidRDefault="000F763A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</w:p>
          <w:p w14:paraId="55A37277" w14:textId="77777777" w:rsidR="000F763A" w:rsidRPr="002136EB" w:rsidRDefault="000F763A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</w:p>
          <w:p w14:paraId="7D56AF0C" w14:textId="77777777" w:rsidR="000F763A" w:rsidRPr="002136EB" w:rsidRDefault="000F763A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</w:p>
          <w:p w14:paraId="1ADEEB22" w14:textId="6FA64158" w:rsidR="000F763A" w:rsidRPr="002136EB" w:rsidRDefault="000F763A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</w:p>
          <w:p w14:paraId="15A70B90" w14:textId="77777777" w:rsidR="000F763A" w:rsidRPr="002136EB" w:rsidRDefault="000F763A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</w:p>
          <w:p w14:paraId="1849A435" w14:textId="220F849B" w:rsidR="000F763A" w:rsidRPr="002136EB" w:rsidRDefault="000F763A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</w:p>
          <w:p w14:paraId="758F18B2" w14:textId="77777777" w:rsidR="002136EB" w:rsidRPr="002136EB" w:rsidRDefault="002136EB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</w:p>
          <w:p w14:paraId="33E1450A" w14:textId="1C5D8F7B" w:rsidR="002136EB" w:rsidRPr="002136EB" w:rsidRDefault="002136EB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  <w:r>
              <w:rPr>
                <w:noProof/>
              </w:rPr>
              <w:drawing>
                <wp:inline distT="0" distB="0" distL="0" distR="0" wp14:anchorId="4C561622" wp14:editId="7B43F02A">
                  <wp:extent cx="3552825" cy="1461770"/>
                  <wp:effectExtent l="0" t="0" r="9525" b="5080"/>
                  <wp:docPr id="1152913792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33434F-6F13-8B95-4C3A-EAD49976A1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541414AF" w14:textId="737D78C4" w:rsidR="000F763A" w:rsidRPr="002136EB" w:rsidRDefault="000F763A" w:rsidP="007B7EB8">
            <w:pPr>
              <w:pStyle w:val="TableParagraph"/>
              <w:spacing w:before="1" w:line="258" w:lineRule="exact"/>
              <w:ind w:right="69"/>
              <w:jc w:val="both"/>
              <w:rPr>
                <w:iCs/>
              </w:rPr>
            </w:pPr>
          </w:p>
        </w:tc>
      </w:tr>
      <w:tr w:rsidR="006B29FC" w14:paraId="1BF03B0C" w14:textId="77777777">
        <w:trPr>
          <w:trHeight w:val="1032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47FF" w14:textId="1D265C53" w:rsidR="006B29FC" w:rsidRDefault="00725BF1">
            <w:pPr>
              <w:pStyle w:val="TableParagraph"/>
              <w:spacing w:before="1"/>
              <w:ind w:left="72" w:right="239"/>
              <w:rPr>
                <w:b/>
                <w:bCs/>
              </w:rPr>
            </w:pPr>
            <w:r>
              <w:rPr>
                <w:b/>
                <w:bCs/>
              </w:rPr>
              <w:t>Ob. 2</w:t>
            </w:r>
            <w:r w:rsidR="000F763A">
              <w:rPr>
                <w:noProof/>
              </w:rPr>
              <w:drawing>
                <wp:inline distT="0" distB="0" distL="0" distR="0" wp14:anchorId="63B09266" wp14:editId="03F5F48D">
                  <wp:extent cx="45719" cy="45085"/>
                  <wp:effectExtent l="0" t="0" r="12065" b="12065"/>
                  <wp:docPr id="772342262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33434F-6F13-8B95-4C3A-EAD49976A1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6449C5F8" w14:textId="77777777" w:rsidR="006B29FC" w:rsidRDefault="00725BF1">
            <w:pPr>
              <w:pStyle w:val="TableParagraph"/>
              <w:spacing w:before="1"/>
              <w:ind w:left="72" w:right="239"/>
            </w:pPr>
            <w:r>
              <w:t>Procedura di gestione cadute in uso</w:t>
            </w:r>
            <w:r>
              <w:rPr>
                <w:spacing w:val="-9"/>
              </w:rPr>
              <w:t xml:space="preserve"> </w:t>
            </w:r>
            <w:r>
              <w:t>presso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strutture</w:t>
            </w:r>
            <w:r>
              <w:rPr>
                <w:spacing w:val="-7"/>
              </w:rPr>
              <w:t xml:space="preserve"> </w:t>
            </w:r>
            <w:r>
              <w:t>sanitarie</w:t>
            </w:r>
            <w:r>
              <w:rPr>
                <w:spacing w:val="-8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socio-sanitarie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E1B" w14:textId="0EFAD59D" w:rsidR="006B29FC" w:rsidRPr="002136EB" w:rsidRDefault="00725BF1">
            <w:pPr>
              <w:pStyle w:val="TableParagraph"/>
              <w:spacing w:line="250" w:lineRule="atLeast"/>
              <w:ind w:left="60" w:right="68"/>
              <w:jc w:val="both"/>
              <w:rPr>
                <w:iCs/>
              </w:rPr>
            </w:pPr>
            <w:r w:rsidRPr="002136EB">
              <w:rPr>
                <w:iCs/>
              </w:rPr>
              <w:t>Monitoraggio qualitativo sul rispetto degli item previsti dal documento regionale e verifica compilazione “scheda rischio cadute” attraverso studio di prevalenza in almeno un reparto aziendale di Medicina Generale</w:t>
            </w:r>
            <w:r w:rsidR="00063A32">
              <w:rPr>
                <w:iCs/>
              </w:rPr>
              <w:t xml:space="preserve"> </w:t>
            </w:r>
            <w:r w:rsidR="00D57C5B">
              <w:rPr>
                <w:iCs/>
              </w:rPr>
              <w:t xml:space="preserve">= SI </w:t>
            </w:r>
          </w:p>
        </w:tc>
      </w:tr>
      <w:tr w:rsidR="006B29FC" w14:paraId="65E2E023" w14:textId="77777777">
        <w:trPr>
          <w:trHeight w:val="656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EAF0" w14:textId="77777777" w:rsidR="006B29FC" w:rsidRDefault="006B29F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B29FC" w14:paraId="4213CB3C" w14:textId="77777777">
        <w:trPr>
          <w:trHeight w:val="403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8E95" w14:textId="77777777" w:rsidR="006B29FC" w:rsidRDefault="00725BF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</w:tr>
      <w:tr w:rsidR="006B29FC" w14:paraId="25BDA1FD" w14:textId="77777777">
        <w:trPr>
          <w:trHeight w:val="401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A639" w14:textId="77777777" w:rsidR="006B29FC" w:rsidRDefault="00725BF1">
            <w:pPr>
              <w:pStyle w:val="TableParagraph"/>
              <w:ind w:left="72"/>
              <w:rPr>
                <w:b/>
                <w:sz w:val="28"/>
              </w:rPr>
            </w:pPr>
            <w:bookmarkStart w:id="1" w:name="​_Azione_4._Progetto_sicurezza_in_sala_o"/>
            <w:bookmarkEnd w:id="1"/>
            <w:r>
              <w:rPr>
                <w:b/>
                <w:color w:val="16355C"/>
                <w:sz w:val="28"/>
              </w:rPr>
              <w:t>Azione</w:t>
            </w:r>
            <w:r>
              <w:rPr>
                <w:b/>
                <w:color w:val="16355C"/>
                <w:spacing w:val="22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4.</w:t>
            </w:r>
            <w:r>
              <w:rPr>
                <w:b/>
                <w:color w:val="16355C"/>
                <w:spacing w:val="23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Progetto</w:t>
            </w:r>
            <w:r>
              <w:rPr>
                <w:b/>
                <w:color w:val="16355C"/>
                <w:spacing w:val="25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sicurezza</w:t>
            </w:r>
            <w:r>
              <w:rPr>
                <w:b/>
                <w:color w:val="16355C"/>
                <w:spacing w:val="24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in</w:t>
            </w:r>
            <w:r>
              <w:rPr>
                <w:b/>
                <w:color w:val="16355C"/>
                <w:spacing w:val="23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sala</w:t>
            </w:r>
            <w:r>
              <w:rPr>
                <w:b/>
                <w:color w:val="16355C"/>
                <w:spacing w:val="27"/>
                <w:sz w:val="28"/>
              </w:rPr>
              <w:t xml:space="preserve"> </w:t>
            </w:r>
            <w:r>
              <w:rPr>
                <w:b/>
                <w:color w:val="16355C"/>
                <w:spacing w:val="-2"/>
                <w:sz w:val="28"/>
              </w:rPr>
              <w:t>operatoria</w:t>
            </w:r>
          </w:p>
        </w:tc>
      </w:tr>
      <w:tr w:rsidR="006B29FC" w14:paraId="41AF7A72" w14:textId="77777777">
        <w:trPr>
          <w:trHeight w:val="1548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331C" w14:textId="77777777" w:rsidR="006B29FC" w:rsidRDefault="00725BF1">
            <w:pPr>
              <w:pStyle w:val="TableParagraph"/>
              <w:spacing w:before="1"/>
              <w:ind w:left="72"/>
            </w:pPr>
            <w:r>
              <w:t>Monitoraggio</w:t>
            </w:r>
            <w:r>
              <w:rPr>
                <w:spacing w:val="-10"/>
              </w:rPr>
              <w:t xml:space="preserve"> </w:t>
            </w:r>
            <w:r>
              <w:t>check</w:t>
            </w:r>
            <w:r>
              <w:rPr>
                <w:spacing w:val="-12"/>
              </w:rPr>
              <w:t xml:space="preserve"> </w:t>
            </w:r>
            <w:r>
              <w:t>list</w:t>
            </w:r>
            <w:r>
              <w:rPr>
                <w:spacing w:val="-11"/>
              </w:rPr>
              <w:t xml:space="preserve"> </w:t>
            </w:r>
            <w:r>
              <w:t>presso</w:t>
            </w:r>
            <w:r>
              <w:rPr>
                <w:spacing w:val="-11"/>
              </w:rPr>
              <w:t xml:space="preserve"> </w:t>
            </w:r>
            <w:r>
              <w:t>U.O. Chirurgiche delle ASR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AEF6" w14:textId="5346A565" w:rsidR="006B29FC" w:rsidRDefault="00725BF1">
            <w:pPr>
              <w:pStyle w:val="TableParagraph"/>
              <w:spacing w:before="1"/>
              <w:ind w:left="60"/>
              <w:jc w:val="both"/>
              <w:rPr>
                <w:i/>
              </w:rPr>
            </w:pPr>
            <w:r>
              <w:rPr>
                <w:i/>
              </w:rPr>
              <w:t>Presenza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checklist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tutte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U.O.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2"/>
              </w:rPr>
              <w:t>Chirurgiche</w:t>
            </w:r>
            <w:r w:rsidR="006A2DDF">
              <w:rPr>
                <w:i/>
                <w:spacing w:val="-2"/>
              </w:rPr>
              <w:t xml:space="preserve"> = SI</w:t>
            </w:r>
          </w:p>
          <w:p w14:paraId="660F5F42" w14:textId="77777777" w:rsidR="006B29FC" w:rsidRDefault="00725BF1">
            <w:pPr>
              <w:pStyle w:val="TableParagraph"/>
              <w:spacing w:line="250" w:lineRule="atLeast"/>
              <w:ind w:left="60" w:right="67"/>
              <w:jc w:val="both"/>
              <w:rPr>
                <w:i/>
              </w:rPr>
            </w:pPr>
            <w:r>
              <w:rPr>
                <w:i/>
              </w:rPr>
              <w:t>Monitoraggio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corretta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compilazione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checklist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e tracciabilità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operatori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hanno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partecipato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all’atto chirurgico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compilazione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stessa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compilazione secondo strumenti e percorso definiti con circolare prot. n. 4160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del 27.2.2015</w:t>
            </w:r>
            <w:r w:rsidR="0063073C">
              <w:rPr>
                <w:i/>
              </w:rPr>
              <w:t>.</w:t>
            </w:r>
          </w:p>
          <w:p w14:paraId="2E234C8E" w14:textId="5C3C3DF2" w:rsidR="006A2DDF" w:rsidRDefault="006A2DDF">
            <w:pPr>
              <w:pStyle w:val="TableParagraph"/>
              <w:spacing w:line="250" w:lineRule="atLeast"/>
              <w:ind w:left="60" w:right="67"/>
              <w:jc w:val="both"/>
              <w:rPr>
                <w:i/>
              </w:rPr>
            </w:pPr>
            <w:r>
              <w:rPr>
                <w:i/>
              </w:rPr>
              <w:t>REV. CHECKLIST DI SICUREZZA : GRUPPO DI LAVORO</w:t>
            </w:r>
          </w:p>
          <w:p w14:paraId="26E1DB86" w14:textId="365E9D47" w:rsidR="0063073C" w:rsidRDefault="0063073C">
            <w:pPr>
              <w:pStyle w:val="TableParagraph"/>
              <w:spacing w:line="250" w:lineRule="atLeast"/>
              <w:ind w:left="60" w:right="67"/>
              <w:jc w:val="both"/>
              <w:rPr>
                <w:i/>
              </w:rPr>
            </w:pPr>
          </w:p>
        </w:tc>
      </w:tr>
      <w:tr w:rsidR="006B29FC" w14:paraId="0E3D55C9" w14:textId="77777777">
        <w:trPr>
          <w:trHeight w:val="402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4E4B" w14:textId="77777777" w:rsidR="006B29FC" w:rsidRDefault="006B29F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B29FC" w14:paraId="3777CD27" w14:textId="77777777">
        <w:trPr>
          <w:trHeight w:val="401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BEE2" w14:textId="77777777" w:rsidR="006B29FC" w:rsidRDefault="00725BF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</w:t>
            </w:r>
          </w:p>
        </w:tc>
      </w:tr>
      <w:tr w:rsidR="006B29FC" w14:paraId="27B893E7" w14:textId="77777777">
        <w:trPr>
          <w:trHeight w:val="656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1DF9" w14:textId="77777777" w:rsidR="006B29FC" w:rsidRDefault="00725BF1">
            <w:pPr>
              <w:pStyle w:val="TableParagraph"/>
              <w:tabs>
                <w:tab w:val="left" w:pos="1242"/>
                <w:tab w:val="left" w:pos="1741"/>
                <w:tab w:val="left" w:pos="3652"/>
                <w:tab w:val="left" w:pos="4568"/>
                <w:tab w:val="left" w:pos="5637"/>
                <w:tab w:val="left" w:pos="6162"/>
                <w:tab w:val="left" w:pos="7380"/>
                <w:tab w:val="left" w:pos="9521"/>
              </w:tabs>
              <w:spacing w:line="328" w:lineRule="exact"/>
              <w:ind w:left="72" w:right="72"/>
              <w:rPr>
                <w:b/>
                <w:sz w:val="28"/>
              </w:rPr>
            </w:pPr>
            <w:bookmarkStart w:id="2" w:name="​_Azione_5._Prevenzione_degli_errori_in_"/>
            <w:bookmarkEnd w:id="2"/>
            <w:r>
              <w:rPr>
                <w:b/>
                <w:color w:val="16355C"/>
                <w:spacing w:val="-2"/>
                <w:sz w:val="28"/>
              </w:rPr>
              <w:t>Azione</w:t>
            </w:r>
            <w:r>
              <w:rPr>
                <w:b/>
                <w:color w:val="16355C"/>
                <w:sz w:val="28"/>
              </w:rPr>
              <w:tab/>
            </w:r>
            <w:r>
              <w:rPr>
                <w:b/>
                <w:color w:val="16355C"/>
                <w:spacing w:val="-6"/>
                <w:sz w:val="28"/>
              </w:rPr>
              <w:t>5.</w:t>
            </w:r>
            <w:r>
              <w:rPr>
                <w:b/>
                <w:color w:val="16355C"/>
                <w:sz w:val="28"/>
              </w:rPr>
              <w:tab/>
            </w:r>
            <w:r>
              <w:rPr>
                <w:b/>
                <w:color w:val="16355C"/>
                <w:spacing w:val="-2"/>
                <w:sz w:val="28"/>
              </w:rPr>
              <w:t>Prevenzione</w:t>
            </w:r>
            <w:r>
              <w:rPr>
                <w:b/>
                <w:color w:val="16355C"/>
                <w:sz w:val="28"/>
              </w:rPr>
              <w:tab/>
            </w:r>
            <w:r>
              <w:rPr>
                <w:b/>
                <w:color w:val="16355C"/>
                <w:spacing w:val="-4"/>
                <w:sz w:val="28"/>
              </w:rPr>
              <w:t>degli</w:t>
            </w:r>
            <w:r>
              <w:rPr>
                <w:b/>
                <w:color w:val="16355C"/>
                <w:sz w:val="28"/>
              </w:rPr>
              <w:tab/>
            </w:r>
            <w:r>
              <w:rPr>
                <w:b/>
                <w:color w:val="16355C"/>
                <w:spacing w:val="-2"/>
                <w:sz w:val="28"/>
              </w:rPr>
              <w:t>errori</w:t>
            </w:r>
            <w:r>
              <w:rPr>
                <w:b/>
                <w:color w:val="16355C"/>
                <w:sz w:val="28"/>
              </w:rPr>
              <w:tab/>
            </w:r>
            <w:r>
              <w:rPr>
                <w:b/>
                <w:color w:val="16355C"/>
                <w:spacing w:val="-6"/>
                <w:sz w:val="28"/>
              </w:rPr>
              <w:t>in</w:t>
            </w:r>
            <w:r>
              <w:rPr>
                <w:b/>
                <w:color w:val="16355C"/>
                <w:sz w:val="28"/>
              </w:rPr>
              <w:tab/>
            </w:r>
            <w:r>
              <w:rPr>
                <w:b/>
                <w:color w:val="16355C"/>
                <w:spacing w:val="-2"/>
                <w:sz w:val="28"/>
              </w:rPr>
              <w:t>terapia</w:t>
            </w:r>
            <w:r>
              <w:rPr>
                <w:b/>
                <w:color w:val="16355C"/>
                <w:sz w:val="28"/>
              </w:rPr>
              <w:tab/>
            </w:r>
            <w:r>
              <w:rPr>
                <w:b/>
                <w:color w:val="16355C"/>
                <w:spacing w:val="-2"/>
                <w:sz w:val="28"/>
              </w:rPr>
              <w:t>farmacologica</w:t>
            </w:r>
            <w:r>
              <w:rPr>
                <w:b/>
                <w:color w:val="16355C"/>
                <w:sz w:val="28"/>
              </w:rPr>
              <w:tab/>
            </w:r>
            <w:r>
              <w:rPr>
                <w:b/>
                <w:color w:val="16355C"/>
                <w:spacing w:val="-10"/>
                <w:sz w:val="28"/>
              </w:rPr>
              <w:t xml:space="preserve">– </w:t>
            </w:r>
            <w:r>
              <w:rPr>
                <w:b/>
                <w:color w:val="16355C"/>
                <w:sz w:val="28"/>
              </w:rPr>
              <w:t>Riconciliazione terapia farmacologica</w:t>
            </w:r>
          </w:p>
        </w:tc>
      </w:tr>
      <w:tr w:rsidR="006B29FC" w14:paraId="348783E1" w14:textId="77777777">
        <w:trPr>
          <w:trHeight w:val="1032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D277" w14:textId="77777777" w:rsidR="006B29FC" w:rsidRDefault="00725BF1">
            <w:pPr>
              <w:pStyle w:val="TableParagraph"/>
              <w:tabs>
                <w:tab w:val="left" w:pos="1522"/>
                <w:tab w:val="left" w:pos="2991"/>
              </w:tabs>
              <w:spacing w:line="250" w:lineRule="atLeast"/>
              <w:ind w:left="72" w:right="14"/>
              <w:jc w:val="both"/>
              <w:rPr>
                <w:b/>
                <w:bCs/>
              </w:rPr>
            </w:pPr>
            <w:bookmarkStart w:id="3" w:name="​_Implementazione_e_atttività_di_monitor"/>
            <w:bookmarkEnd w:id="3"/>
            <w:r>
              <w:rPr>
                <w:b/>
                <w:bCs/>
              </w:rPr>
              <w:t>Ob. 1</w:t>
            </w:r>
          </w:p>
          <w:p w14:paraId="26AD1F5C" w14:textId="77777777" w:rsidR="006B29FC" w:rsidRDefault="00725BF1">
            <w:pPr>
              <w:pStyle w:val="TableParagraph"/>
              <w:tabs>
                <w:tab w:val="left" w:pos="1522"/>
                <w:tab w:val="left" w:pos="2991"/>
              </w:tabs>
              <w:spacing w:line="250" w:lineRule="atLeast"/>
              <w:ind w:left="72" w:right="14"/>
              <w:jc w:val="both"/>
            </w:pPr>
            <w:r>
              <w:t xml:space="preserve">Implementazione e atttivita' di monitoraggio dell’applicazione, a </w:t>
            </w:r>
            <w:r>
              <w:rPr>
                <w:spacing w:val="-2"/>
              </w:rPr>
              <w:t>livello</w:t>
            </w:r>
            <w:r>
              <w:tab/>
            </w:r>
            <w:r>
              <w:rPr>
                <w:spacing w:val="-2"/>
              </w:rPr>
              <w:t>locale,</w:t>
            </w:r>
            <w:r>
              <w:tab/>
            </w:r>
            <w:r>
              <w:rPr>
                <w:spacing w:val="-4"/>
              </w:rPr>
              <w:t xml:space="preserve">della </w:t>
            </w:r>
            <w:r>
              <w:t>Raccomandazione 17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D746" w14:textId="1E4D3518" w:rsidR="006B29FC" w:rsidRDefault="00725BF1">
            <w:pPr>
              <w:pStyle w:val="TableParagraph"/>
              <w:spacing w:line="250" w:lineRule="atLeast"/>
              <w:ind w:left="115" w:right="68"/>
              <w:jc w:val="both"/>
              <w:rPr>
                <w:i/>
              </w:rPr>
            </w:pPr>
            <w:bookmarkStart w:id="4" w:name="​_Report_monitoraggio_del_rispetto_dei_c"/>
            <w:bookmarkEnd w:id="4"/>
            <w:r>
              <w:rPr>
                <w:i/>
              </w:rPr>
              <w:t>Report monitoraggio del rispetto dei criteri di gestione del processo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terapia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specifico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riferimento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alla ricognizione e riconciliazione della terapia nelle fasi di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transizione del paziente tra i diversi setting</w:t>
            </w:r>
            <w:r w:rsidR="00E45A74">
              <w:rPr>
                <w:i/>
              </w:rPr>
              <w:t xml:space="preserve"> </w:t>
            </w:r>
            <w:r w:rsidR="00F03451">
              <w:rPr>
                <w:i/>
              </w:rPr>
              <w:t xml:space="preserve"> con controllo CC </w:t>
            </w:r>
            <w:r w:rsidR="00EC4F84">
              <w:rPr>
                <w:i/>
              </w:rPr>
              <w:t>: gruppo di lavoro con SC FARMACIA -DMP</w:t>
            </w:r>
          </w:p>
        </w:tc>
      </w:tr>
      <w:tr w:rsidR="006B29FC" w14:paraId="7AA80FBE" w14:textId="77777777">
        <w:trPr>
          <w:trHeight w:val="1547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1459" w14:textId="77777777" w:rsidR="006B29FC" w:rsidRDefault="00725BF1">
            <w:pPr>
              <w:pStyle w:val="TableParagraph"/>
              <w:spacing w:line="250" w:lineRule="atLeast"/>
              <w:ind w:left="72" w:right="14"/>
              <w:jc w:val="both"/>
              <w:rPr>
                <w:b/>
                <w:bCs/>
              </w:rPr>
            </w:pPr>
            <w:bookmarkStart w:id="5" w:name="​_Tracciabilità_di_tutti_i_trattamenti_r"/>
            <w:bookmarkEnd w:id="5"/>
            <w:r>
              <w:rPr>
                <w:b/>
                <w:bCs/>
              </w:rPr>
              <w:t>Ob. 2</w:t>
            </w:r>
          </w:p>
          <w:p w14:paraId="68A86A5A" w14:textId="77777777" w:rsidR="006B29FC" w:rsidRDefault="00725BF1">
            <w:pPr>
              <w:pStyle w:val="TableParagraph"/>
              <w:spacing w:line="250" w:lineRule="atLeast"/>
              <w:ind w:left="72" w:right="14"/>
              <w:jc w:val="both"/>
            </w:pPr>
            <w:r>
              <w:t xml:space="preserve">Tracciabilita' di tutti i trattamenti rilevati nelle fasi di ricognizione e riconciliazione del paziente attraverso la presenza di una scheda cartacea o supporto </w:t>
            </w:r>
            <w:r>
              <w:rPr>
                <w:spacing w:val="-2"/>
              </w:rPr>
              <w:t>informatico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FE9A" w14:textId="599DD9C4" w:rsidR="006B29FC" w:rsidRDefault="00725BF1">
            <w:pPr>
              <w:pStyle w:val="TableParagraph"/>
              <w:spacing w:before="1"/>
              <w:ind w:left="115" w:right="188"/>
              <w:rPr>
                <w:i/>
              </w:rPr>
            </w:pPr>
            <w:bookmarkStart w:id="6" w:name="​_Presenza_scheda_ricognizione%252525252"/>
            <w:bookmarkEnd w:id="6"/>
            <w:r>
              <w:rPr>
                <w:i/>
              </w:rPr>
              <w:t xml:space="preserve">Presenza scheda ricognizione/riconciliazione cartacea </w:t>
            </w:r>
            <w:r w:rsidR="00E45A74">
              <w:rPr>
                <w:i/>
              </w:rPr>
              <w:t>verbale di dimissione.</w:t>
            </w:r>
          </w:p>
        </w:tc>
      </w:tr>
      <w:tr w:rsidR="006B29FC" w14:paraId="2FCAA55C" w14:textId="77777777">
        <w:trPr>
          <w:trHeight w:val="404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D5E6" w14:textId="77777777" w:rsidR="006B29FC" w:rsidRDefault="006B29F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B29FC" w14:paraId="202E3634" w14:textId="77777777">
        <w:trPr>
          <w:trHeight w:val="401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74DF" w14:textId="77777777" w:rsidR="006B29FC" w:rsidRDefault="00725BF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</w:tr>
      <w:tr w:rsidR="006B29FC" w14:paraId="286433F4" w14:textId="77777777">
        <w:trPr>
          <w:trHeight w:val="403"/>
        </w:trPr>
        <w:tc>
          <w:tcPr>
            <w:tcW w:w="9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C4B" w14:textId="77777777" w:rsidR="006B29FC" w:rsidRDefault="00725BF1">
            <w:pPr>
              <w:pStyle w:val="TableParagraph"/>
              <w:ind w:left="72"/>
              <w:rPr>
                <w:b/>
                <w:sz w:val="28"/>
              </w:rPr>
            </w:pPr>
            <w:bookmarkStart w:id="7" w:name="​_Azione_6._Implementazione_e_monitoragg"/>
            <w:bookmarkEnd w:id="7"/>
            <w:r>
              <w:rPr>
                <w:b/>
                <w:color w:val="16355C"/>
                <w:sz w:val="28"/>
              </w:rPr>
              <w:t>Azione</w:t>
            </w:r>
            <w:r>
              <w:rPr>
                <w:b/>
                <w:color w:val="16355C"/>
                <w:spacing w:val="36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6.</w:t>
            </w:r>
            <w:r>
              <w:rPr>
                <w:b/>
                <w:color w:val="16355C"/>
                <w:spacing w:val="36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Implementazione</w:t>
            </w:r>
            <w:r>
              <w:rPr>
                <w:b/>
                <w:color w:val="16355C"/>
                <w:spacing w:val="41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e</w:t>
            </w:r>
            <w:r>
              <w:rPr>
                <w:b/>
                <w:color w:val="16355C"/>
                <w:spacing w:val="38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monitoraggio</w:t>
            </w:r>
            <w:r>
              <w:rPr>
                <w:b/>
                <w:color w:val="16355C"/>
                <w:spacing w:val="39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Raccomandazione</w:t>
            </w:r>
            <w:r>
              <w:rPr>
                <w:b/>
                <w:color w:val="16355C"/>
                <w:spacing w:val="39"/>
                <w:sz w:val="28"/>
              </w:rPr>
              <w:t xml:space="preserve"> </w:t>
            </w:r>
            <w:r>
              <w:rPr>
                <w:b/>
                <w:color w:val="16355C"/>
                <w:spacing w:val="-5"/>
                <w:sz w:val="28"/>
              </w:rPr>
              <w:t>14</w:t>
            </w:r>
          </w:p>
        </w:tc>
      </w:tr>
      <w:tr w:rsidR="006B29FC" w14:paraId="2D767213" w14:textId="77777777">
        <w:trPr>
          <w:trHeight w:val="1032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CECA" w14:textId="77777777" w:rsidR="006B29FC" w:rsidRDefault="00725BF1">
            <w:pPr>
              <w:pStyle w:val="TableParagraph"/>
              <w:ind w:left="72" w:right="71"/>
              <w:jc w:val="both"/>
            </w:pPr>
            <w:bookmarkStart w:id="8" w:name="​_Implementazione_e_monitoraggio_della_R"/>
            <w:bookmarkEnd w:id="8"/>
            <w:r>
              <w:t>Implementazione e monitoraggio della Raccomandazione per la sicurezza nella terapia oncologica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E93D" w14:textId="6AD473C3" w:rsidR="006B29FC" w:rsidRDefault="00725BF1">
            <w:pPr>
              <w:pStyle w:val="TableParagraph"/>
              <w:ind w:left="60" w:right="379"/>
              <w:rPr>
                <w:i/>
              </w:rPr>
            </w:pPr>
            <w:bookmarkStart w:id="9" w:name="​_Effettuazione_da_parte_dell’ASL_degli_"/>
            <w:bookmarkEnd w:id="9"/>
            <w:r>
              <w:rPr>
                <w:i/>
              </w:rPr>
              <w:t>Effettuazione da parte dell’ASL degli audit - Progetto PRORA – ed aggiornamento su eventuali azioni di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spacing w:val="-2"/>
              </w:rPr>
              <w:t>miglioramento</w:t>
            </w:r>
            <w:r w:rsidR="00EC4F84">
              <w:rPr>
                <w:i/>
                <w:spacing w:val="-2"/>
              </w:rPr>
              <w:t xml:space="preserve"> EFFETTUATO IL 27</w:t>
            </w:r>
            <w:r w:rsidR="00FD4B70">
              <w:rPr>
                <w:i/>
                <w:spacing w:val="-2"/>
              </w:rPr>
              <w:t>/7/2023 CON SC FARMACIA E SGQ</w:t>
            </w:r>
            <w:r w:rsidR="00FB457B">
              <w:rPr>
                <w:i/>
                <w:spacing w:val="-2"/>
              </w:rPr>
              <w:t xml:space="preserve">: -azione di miglioramento: </w:t>
            </w:r>
            <w:r w:rsidR="000A2229">
              <w:rPr>
                <w:i/>
                <w:spacing w:val="-2"/>
              </w:rPr>
              <w:t>introduzione di nuova procedura per i giorni festivi e  raccogliere dati dui tempi di preparazione e consegna dei farmaci nel DH Onco-Ematologico  e reparti di Ematologia e Oncologia.</w:t>
            </w:r>
          </w:p>
        </w:tc>
      </w:tr>
    </w:tbl>
    <w:p w14:paraId="3402FD1F" w14:textId="77777777" w:rsidR="006B29FC" w:rsidRDefault="006B29FC">
      <w:pPr>
        <w:rPr>
          <w:rFonts w:ascii="Times New Roman" w:hAnsi="Times New Roman"/>
        </w:rPr>
      </w:pPr>
    </w:p>
    <w:p w14:paraId="71B56D45" w14:textId="77777777" w:rsidR="006B29FC" w:rsidRDefault="006B29FC">
      <w:pPr>
        <w:rPr>
          <w:rFonts w:ascii="Times New Roman" w:hAnsi="Times New Roman"/>
        </w:rPr>
      </w:pPr>
    </w:p>
    <w:p w14:paraId="582DD631" w14:textId="77777777" w:rsidR="006B29FC" w:rsidRDefault="006B29FC"/>
    <w:p w14:paraId="717F05D1" w14:textId="77777777" w:rsidR="006B29FC" w:rsidRDefault="006B29FC"/>
    <w:p w14:paraId="310F11F9" w14:textId="77777777" w:rsidR="006B29FC" w:rsidRDefault="006B29FC"/>
    <w:p w14:paraId="2A31386D" w14:textId="77777777" w:rsidR="006B29FC" w:rsidRDefault="006B29FC">
      <w:pPr>
        <w:sectPr w:rsidR="006B29FC" w:rsidSect="00FB14DF">
          <w:type w:val="continuous"/>
          <w:pgSz w:w="11906" w:h="16838"/>
          <w:pgMar w:top="1920" w:right="940" w:bottom="280" w:left="9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746" w:type="dxa"/>
        <w:tblInd w:w="17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3"/>
        <w:gridCol w:w="500"/>
        <w:gridCol w:w="5783"/>
      </w:tblGrid>
      <w:tr w:rsidR="006B29FC" w14:paraId="0866C899" w14:textId="77777777">
        <w:trPr>
          <w:trHeight w:val="401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8590" w14:textId="77777777" w:rsidR="006B29FC" w:rsidRDefault="00725BF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VII</w:t>
            </w:r>
          </w:p>
        </w:tc>
      </w:tr>
      <w:tr w:rsidR="006B29FC" w14:paraId="71618BB7" w14:textId="77777777">
        <w:trPr>
          <w:trHeight w:val="404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3C8B" w14:textId="77777777" w:rsidR="006B29FC" w:rsidRDefault="00725BF1">
            <w:pPr>
              <w:pStyle w:val="TableParagraph"/>
              <w:ind w:left="72"/>
              <w:rPr>
                <w:b/>
                <w:sz w:val="28"/>
              </w:rPr>
            </w:pPr>
            <w:r>
              <w:rPr>
                <w:b/>
                <w:color w:val="16355C"/>
                <w:sz w:val="28"/>
              </w:rPr>
              <w:t>Azione</w:t>
            </w:r>
            <w:r>
              <w:rPr>
                <w:b/>
                <w:color w:val="16355C"/>
                <w:spacing w:val="24"/>
                <w:sz w:val="28"/>
              </w:rPr>
              <w:t xml:space="preserve"> 7</w:t>
            </w:r>
            <w:r>
              <w:rPr>
                <w:b/>
                <w:color w:val="16355C"/>
                <w:sz w:val="28"/>
              </w:rPr>
              <w:t>.</w:t>
            </w:r>
            <w:r>
              <w:rPr>
                <w:b/>
                <w:color w:val="16355C"/>
                <w:spacing w:val="25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Sviluppo</w:t>
            </w:r>
            <w:r>
              <w:rPr>
                <w:b/>
                <w:color w:val="16355C"/>
                <w:spacing w:val="28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cultura</w:t>
            </w:r>
            <w:r>
              <w:rPr>
                <w:b/>
                <w:color w:val="16355C"/>
                <w:spacing w:val="26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della</w:t>
            </w:r>
            <w:r>
              <w:rPr>
                <w:b/>
                <w:color w:val="16355C"/>
                <w:spacing w:val="27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valutazione</w:t>
            </w:r>
            <w:r>
              <w:rPr>
                <w:b/>
                <w:color w:val="16355C"/>
                <w:spacing w:val="26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e</w:t>
            </w:r>
            <w:r>
              <w:rPr>
                <w:b/>
                <w:color w:val="16355C"/>
                <w:spacing w:val="27"/>
                <w:sz w:val="28"/>
              </w:rPr>
              <w:t xml:space="preserve"> </w:t>
            </w:r>
            <w:r>
              <w:rPr>
                <w:b/>
                <w:color w:val="16355C"/>
                <w:spacing w:val="-2"/>
                <w:sz w:val="28"/>
              </w:rPr>
              <w:t>dell’accountability</w:t>
            </w:r>
          </w:p>
        </w:tc>
      </w:tr>
      <w:tr w:rsidR="006B29FC" w14:paraId="36A90F2F" w14:textId="77777777">
        <w:trPr>
          <w:trHeight w:val="562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8E9" w14:textId="77777777" w:rsidR="006B29FC" w:rsidRDefault="00725BF1">
            <w:pPr>
              <w:pStyle w:val="TableParagraph"/>
              <w:spacing w:line="280" w:lineRule="exact"/>
              <w:ind w:left="72"/>
              <w:rPr>
                <w:b/>
                <w:sz w:val="24"/>
              </w:rPr>
            </w:pPr>
            <w:bookmarkStart w:id="10" w:name="​_Eventi_formativi%25252525252Finformati"/>
            <w:bookmarkEnd w:id="10"/>
            <w:r>
              <w:rPr>
                <w:b/>
                <w:sz w:val="24"/>
              </w:rPr>
              <w:t>Eventi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formativi/informativi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realizzati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nell’anno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relazione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tematica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“Rischio </w:t>
            </w:r>
            <w:r>
              <w:rPr>
                <w:b/>
                <w:spacing w:val="-2"/>
                <w:sz w:val="24"/>
              </w:rPr>
              <w:t>clinico” (tematiche: strumenti analisi del rischio, linee guida, strumenti per la gestione sinistri RCT/O ASR, strumenti di comunicazione con i pazienti – comunicazione E.A.)</w:t>
            </w:r>
          </w:p>
        </w:tc>
      </w:tr>
      <w:tr w:rsidR="006B29FC" w14:paraId="4D31CA4C" w14:textId="77777777">
        <w:trPr>
          <w:trHeight w:val="516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B8F4" w14:textId="77777777" w:rsidR="006B29FC" w:rsidRDefault="00725BF1">
            <w:pPr>
              <w:pStyle w:val="TableParagraph"/>
              <w:tabs>
                <w:tab w:val="left" w:pos="3535"/>
              </w:tabs>
              <w:spacing w:line="257" w:lineRule="exact"/>
              <w:ind w:left="72"/>
              <w:rPr>
                <w:spacing w:val="-2"/>
              </w:rPr>
            </w:pPr>
            <w:r>
              <w:lastRenderedPageBreak/>
              <w:t>Corso</w:t>
            </w:r>
            <w:r>
              <w:rPr>
                <w:spacing w:val="-3"/>
              </w:rPr>
              <w:t xml:space="preserve"> </w:t>
            </w:r>
            <w:r>
              <w:t>tematica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“…</w:t>
            </w:r>
            <w:r w:rsidR="00C21E87">
              <w:rPr>
                <w:spacing w:val="-2"/>
              </w:rPr>
              <w:t>GESTIONE RISCHIO CLINICO PER IL NA”</w:t>
            </w:r>
            <w:r>
              <w:rPr>
                <w:spacing w:val="-2"/>
              </w:rPr>
              <w:t>…..</w:t>
            </w:r>
            <w:r>
              <w:tab/>
              <w:t xml:space="preserve">n. </w:t>
            </w:r>
            <w:r>
              <w:rPr>
                <w:spacing w:val="-2"/>
              </w:rPr>
              <w:t>partecipanti</w:t>
            </w:r>
            <w:r w:rsidR="00C21E87">
              <w:rPr>
                <w:spacing w:val="-2"/>
              </w:rPr>
              <w:t xml:space="preserve"> 50</w:t>
            </w:r>
          </w:p>
          <w:p w14:paraId="0B8E3BA8" w14:textId="77777777" w:rsidR="00367DAB" w:rsidRDefault="00367DAB">
            <w:pPr>
              <w:pStyle w:val="TableParagraph"/>
              <w:tabs>
                <w:tab w:val="left" w:pos="3535"/>
              </w:tabs>
              <w:spacing w:line="257" w:lineRule="exact"/>
              <w:ind w:left="72"/>
              <w:rPr>
                <w:spacing w:val="-2"/>
              </w:rPr>
            </w:pPr>
            <w:r>
              <w:rPr>
                <w:spacing w:val="-2"/>
              </w:rPr>
              <w:t>Corso tematico “</w:t>
            </w:r>
            <w:r w:rsidR="001F551C">
              <w:rPr>
                <w:spacing w:val="-2"/>
              </w:rPr>
              <w:t>linee di indiri</w:t>
            </w:r>
            <w:r w:rsidR="007926DA">
              <w:rPr>
                <w:spacing w:val="-2"/>
              </w:rPr>
              <w:t xml:space="preserve">zzo regionali in materia di utilizzo </w:t>
            </w:r>
            <w:r w:rsidR="00634592">
              <w:rPr>
                <w:spacing w:val="-2"/>
              </w:rPr>
              <w:t xml:space="preserve">dei presidi di sicurezza” con 4 strutture: partecipanti </w:t>
            </w:r>
            <w:r w:rsidR="00CB5B97">
              <w:rPr>
                <w:spacing w:val="-2"/>
              </w:rPr>
              <w:t>20</w:t>
            </w:r>
          </w:p>
          <w:p w14:paraId="1B4C6AED" w14:textId="77777777" w:rsidR="004005C2" w:rsidRDefault="004005C2">
            <w:pPr>
              <w:pStyle w:val="TableParagraph"/>
              <w:tabs>
                <w:tab w:val="left" w:pos="3535"/>
              </w:tabs>
              <w:spacing w:line="257" w:lineRule="exact"/>
              <w:ind w:left="72"/>
              <w:rPr>
                <w:spacing w:val="-2"/>
              </w:rPr>
            </w:pPr>
            <w:r>
              <w:rPr>
                <w:spacing w:val="-2"/>
              </w:rPr>
              <w:t xml:space="preserve">Corso tematico “ buona tenuta della cartella clinica  N. Partecipanti </w:t>
            </w:r>
            <w:r w:rsidR="00024675">
              <w:rPr>
                <w:spacing w:val="-2"/>
              </w:rPr>
              <w:t>30</w:t>
            </w:r>
          </w:p>
          <w:p w14:paraId="0EB83E11" w14:textId="36CDD015" w:rsidR="00024675" w:rsidRDefault="00024675">
            <w:pPr>
              <w:pStyle w:val="TableParagraph"/>
              <w:tabs>
                <w:tab w:val="left" w:pos="3535"/>
              </w:tabs>
              <w:spacing w:line="257" w:lineRule="exact"/>
              <w:ind w:left="72"/>
            </w:pPr>
            <w:r>
              <w:rPr>
                <w:spacing w:val="-2"/>
              </w:rPr>
              <w:t>Corso tematico “ DVA 118 decessi” N. partecipanti 30</w:t>
            </w:r>
          </w:p>
        </w:tc>
      </w:tr>
      <w:tr w:rsidR="006B29FC" w14:paraId="43B0FC6F" w14:textId="77777777">
        <w:trPr>
          <w:trHeight w:val="323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A153" w14:textId="77777777" w:rsidR="006B29FC" w:rsidRDefault="006B29FC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AD38" w14:textId="77777777" w:rsidR="006B29FC" w:rsidRDefault="006B29F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B29FC" w14:paraId="28DCC8D0" w14:textId="77777777">
        <w:trPr>
          <w:trHeight w:val="561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05EA" w14:textId="77777777" w:rsidR="006B29FC" w:rsidRDefault="00725BF1">
            <w:pPr>
              <w:pStyle w:val="TableParagraph"/>
              <w:spacing w:line="28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Metodologie/strumenti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adottati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l’identificazione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l’analisi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rischio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(Incident reporting, Safety Walk Around, FMEA-FMECA, Root Cause Analysis, Audit clinici).</w:t>
            </w:r>
          </w:p>
        </w:tc>
      </w:tr>
      <w:tr w:rsidR="006B29FC" w14:paraId="4FABA1EB" w14:textId="77777777">
        <w:trPr>
          <w:trHeight w:val="280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8F22" w14:textId="77777777" w:rsidR="006B29FC" w:rsidRDefault="00725BF1">
            <w:pPr>
              <w:pStyle w:val="TableParagraph"/>
              <w:spacing w:line="257" w:lineRule="exact"/>
              <w:ind w:left="72"/>
            </w:pPr>
            <w:r>
              <w:t>Iniziative/Risultati</w:t>
            </w:r>
            <w:r>
              <w:rPr>
                <w:spacing w:val="-8"/>
              </w:rPr>
              <w:t xml:space="preserve"> </w:t>
            </w:r>
            <w:r>
              <w:t>Audit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clinici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CE56" w14:textId="0C053E46" w:rsidR="006B29FC" w:rsidRDefault="007C4CDB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="00A77287">
              <w:rPr>
                <w:rFonts w:ascii="Times New Roman" w:hAnsi="Times New Roman"/>
                <w:sz w:val="20"/>
              </w:rPr>
              <w:t>14 AUDIT DI RISCHIO CLINICO</w:t>
            </w:r>
          </w:p>
        </w:tc>
      </w:tr>
      <w:tr w:rsidR="006B29FC" w14:paraId="32C48B29" w14:textId="77777777">
        <w:trPr>
          <w:trHeight w:val="280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84B3" w14:textId="77777777" w:rsidR="006B29FC" w:rsidRDefault="00725BF1">
            <w:pPr>
              <w:pStyle w:val="TableParagraph"/>
              <w:spacing w:line="257" w:lineRule="exact"/>
              <w:ind w:left="72"/>
            </w:pPr>
            <w:r>
              <w:t>Iniziative/Risultati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RCA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6FB6" w14:textId="77777777" w:rsidR="006B29FC" w:rsidRDefault="006B29F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B29FC" w14:paraId="0F97E7AA" w14:textId="77777777">
        <w:trPr>
          <w:trHeight w:val="28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690E" w14:textId="77777777" w:rsidR="006B29FC" w:rsidRDefault="00725BF1">
            <w:pPr>
              <w:pStyle w:val="TableParagraph"/>
              <w:spacing w:before="1"/>
              <w:ind w:left="72"/>
            </w:pPr>
            <w:r>
              <w:t>Iniziative/Risultati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SWR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0AA9" w14:textId="732217EF" w:rsidR="006B29FC" w:rsidRDefault="00C4427D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</w:p>
        </w:tc>
      </w:tr>
      <w:tr w:rsidR="006B29FC" w14:paraId="7DF3B3C3" w14:textId="77777777">
        <w:trPr>
          <w:trHeight w:val="280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1862" w14:textId="22AF41E4" w:rsidR="006B29FC" w:rsidRDefault="00481E45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UGR</w:t>
            </w:r>
            <w:r w:rsidR="00725BF1">
              <w:rPr>
                <w:spacing w:val="-5"/>
                <w:sz w:val="24"/>
              </w:rPr>
              <w:t>…..</w:t>
            </w:r>
          </w:p>
        </w:tc>
        <w:tc>
          <w:tcPr>
            <w:tcW w:w="6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4735" w14:textId="48BADEA8" w:rsidR="006B29FC" w:rsidRDefault="007C4CDB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5</w:t>
            </w:r>
          </w:p>
        </w:tc>
      </w:tr>
      <w:tr w:rsidR="006B29FC" w14:paraId="18B8EA93" w14:textId="77777777">
        <w:trPr>
          <w:trHeight w:val="398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352E" w14:textId="092B89AC" w:rsidR="006B29FC" w:rsidRDefault="00240E91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COMITATI SINISTRI</w:t>
            </w:r>
            <w:r w:rsidR="00115FFD">
              <w:rPr>
                <w:rFonts w:ascii="Times New Roman" w:hAnsi="Times New Roman"/>
              </w:rPr>
              <w:t xml:space="preserve">                              12</w:t>
            </w:r>
          </w:p>
        </w:tc>
      </w:tr>
      <w:tr w:rsidR="006B29FC" w14:paraId="21EF7A33" w14:textId="77777777">
        <w:trPr>
          <w:trHeight w:val="282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BA1C" w14:textId="77777777" w:rsidR="006B29FC" w:rsidRDefault="00725BF1">
            <w:pPr>
              <w:pStyle w:val="TableParagraph"/>
              <w:spacing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VIII</w:t>
            </w:r>
          </w:p>
        </w:tc>
      </w:tr>
      <w:tr w:rsidR="006B29FC" w14:paraId="6E631C7D" w14:textId="77777777">
        <w:trPr>
          <w:trHeight w:val="327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A893" w14:textId="77777777" w:rsidR="006B29FC" w:rsidRDefault="00725BF1">
            <w:pPr>
              <w:pStyle w:val="TableParagraph"/>
              <w:spacing w:line="308" w:lineRule="exact"/>
              <w:ind w:left="72"/>
              <w:rPr>
                <w:b/>
                <w:sz w:val="28"/>
              </w:rPr>
            </w:pPr>
            <w:r>
              <w:rPr>
                <w:b/>
                <w:color w:val="16355C"/>
                <w:sz w:val="28"/>
              </w:rPr>
              <w:t>Azione</w:t>
            </w:r>
            <w:r>
              <w:rPr>
                <w:b/>
                <w:color w:val="16355C"/>
                <w:spacing w:val="23"/>
                <w:sz w:val="28"/>
              </w:rPr>
              <w:t xml:space="preserve"> 8</w:t>
            </w:r>
            <w:r>
              <w:rPr>
                <w:b/>
                <w:color w:val="16355C"/>
                <w:sz w:val="28"/>
              </w:rPr>
              <w:t>.</w:t>
            </w:r>
            <w:r>
              <w:rPr>
                <w:b/>
                <w:color w:val="16355C"/>
                <w:spacing w:val="26"/>
                <w:sz w:val="28"/>
              </w:rPr>
              <w:t xml:space="preserve"> </w:t>
            </w:r>
            <w:r>
              <w:rPr>
                <w:b/>
                <w:color w:val="16355C"/>
                <w:spacing w:val="-2"/>
                <w:sz w:val="28"/>
              </w:rPr>
              <w:t>SIMES – Flusso E.S.</w:t>
            </w:r>
          </w:p>
        </w:tc>
      </w:tr>
      <w:tr w:rsidR="006B29FC" w14:paraId="289DCE57" w14:textId="77777777">
        <w:trPr>
          <w:trHeight w:val="25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8E8CF" w14:textId="77777777" w:rsidR="006B29FC" w:rsidRDefault="00725BF1">
            <w:pPr>
              <w:pStyle w:val="TableParagraph"/>
              <w:spacing w:line="238" w:lineRule="exact"/>
              <w:ind w:left="72"/>
            </w:pPr>
            <w:r>
              <w:rPr>
                <w:spacing w:val="-2"/>
              </w:rPr>
              <w:t>Adempimento debito informativo nei termini definiti dal D.M. 2009 e s.m.i. sul portale regionale - SIMES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F630" w14:textId="77777777" w:rsidR="00E32FF5" w:rsidRDefault="00725BF1" w:rsidP="00E32FF5">
            <w:pPr>
              <w:rPr>
                <w:rFonts w:ascii="Aptos" w:eastAsia="Times New Roman" w:hAnsi="Aptos" w:cs="Aptos"/>
              </w:rPr>
            </w:pPr>
            <w:r>
              <w:rPr>
                <w:rFonts w:ascii="Times New Roman" w:hAnsi="Times New Roman"/>
                <w:i/>
              </w:rPr>
              <w:t xml:space="preserve">L’adempimento può essere verificato nella “Relazione annuale consuntiva degli eventi avversi ex art. 2 comma 5 della legge 8 marzo 2017, n. 24” </w:t>
            </w:r>
            <w:hyperlink r:id="rId9" w:history="1">
              <w:r w:rsidR="00E32FF5">
                <w:rPr>
                  <w:rStyle w:val="Collegamentoipertestuale"/>
                  <w:rFonts w:eastAsia="Times New Roman"/>
                </w:rPr>
                <w:t>https://www.ospedale.al.it/it/struttura-sanitaria/rischio-clinico</w:t>
              </w:r>
            </w:hyperlink>
          </w:p>
          <w:p w14:paraId="671841B6" w14:textId="5B6274F7" w:rsidR="006B29FC" w:rsidRDefault="006B29FC">
            <w:pPr>
              <w:pStyle w:val="TableParagraph"/>
              <w:spacing w:line="258" w:lineRule="exact"/>
              <w:ind w:left="71" w:right="69"/>
              <w:jc w:val="both"/>
              <w:rPr>
                <w:i/>
              </w:rPr>
            </w:pPr>
          </w:p>
        </w:tc>
      </w:tr>
      <w:tr w:rsidR="006B29FC" w14:paraId="61C9C0DF" w14:textId="77777777">
        <w:trPr>
          <w:trHeight w:val="280"/>
        </w:trPr>
        <w:tc>
          <w:tcPr>
            <w:tcW w:w="9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B6AC" w14:textId="77777777" w:rsidR="006B29FC" w:rsidRDefault="006B29F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B29FC" w14:paraId="53055353" w14:textId="77777777">
        <w:trPr>
          <w:trHeight w:val="280"/>
        </w:trPr>
        <w:tc>
          <w:tcPr>
            <w:tcW w:w="9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036E" w14:textId="77777777" w:rsidR="006B29FC" w:rsidRDefault="00725BF1">
            <w:pPr>
              <w:pStyle w:val="TableParagraph"/>
              <w:spacing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</w:t>
            </w:r>
          </w:p>
        </w:tc>
      </w:tr>
      <w:tr w:rsidR="006B29FC" w14:paraId="3ED8B001" w14:textId="77777777">
        <w:trPr>
          <w:trHeight w:val="280"/>
        </w:trPr>
        <w:tc>
          <w:tcPr>
            <w:tcW w:w="9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721E" w14:textId="77777777" w:rsidR="006B29FC" w:rsidRDefault="00725BF1">
            <w:pPr>
              <w:pStyle w:val="TableParagraph"/>
              <w:spacing w:line="308" w:lineRule="exact"/>
              <w:ind w:left="72"/>
              <w:rPr>
                <w:b/>
                <w:sz w:val="28"/>
              </w:rPr>
            </w:pPr>
            <w:r>
              <w:rPr>
                <w:b/>
                <w:color w:val="16355C"/>
                <w:sz w:val="28"/>
              </w:rPr>
              <w:t>Azione</w:t>
            </w:r>
            <w:r>
              <w:rPr>
                <w:b/>
                <w:color w:val="16355C"/>
                <w:spacing w:val="23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10.</w:t>
            </w:r>
            <w:r>
              <w:rPr>
                <w:b/>
                <w:color w:val="16355C"/>
                <w:spacing w:val="26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Violenza</w:t>
            </w:r>
            <w:r>
              <w:rPr>
                <w:b/>
                <w:color w:val="16355C"/>
                <w:spacing w:val="23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su</w:t>
            </w:r>
            <w:r>
              <w:rPr>
                <w:b/>
                <w:color w:val="16355C"/>
                <w:spacing w:val="26"/>
                <w:sz w:val="28"/>
              </w:rPr>
              <w:t xml:space="preserve"> </w:t>
            </w:r>
            <w:r>
              <w:rPr>
                <w:b/>
                <w:color w:val="16355C"/>
                <w:spacing w:val="-2"/>
                <w:sz w:val="28"/>
              </w:rPr>
              <w:t>operatori</w:t>
            </w:r>
          </w:p>
        </w:tc>
      </w:tr>
      <w:tr w:rsidR="006B29FC" w14:paraId="60A3BEDE" w14:textId="77777777">
        <w:trPr>
          <w:trHeight w:val="280"/>
        </w:trPr>
        <w:tc>
          <w:tcPr>
            <w:tcW w:w="3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E4FEAB" w14:textId="77777777" w:rsidR="006B29FC" w:rsidRDefault="00725BF1">
            <w:pPr>
              <w:pStyle w:val="TableParagraph"/>
              <w:spacing w:line="238" w:lineRule="exact"/>
              <w:ind w:left="72"/>
            </w:pPr>
            <w:r>
              <w:t>Procedure</w:t>
            </w:r>
            <w:r>
              <w:rPr>
                <w:spacing w:val="-12"/>
              </w:rPr>
              <w:t xml:space="preserve"> </w:t>
            </w:r>
            <w:r>
              <w:t>aziendali,</w:t>
            </w:r>
            <w:r>
              <w:rPr>
                <w:spacing w:val="-12"/>
              </w:rPr>
              <w:t xml:space="preserve"> misure di prevenzione e protezione adottate, </w:t>
            </w:r>
            <w:r>
              <w:t>modalità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raccolta</w:t>
            </w:r>
            <w:r>
              <w:rPr>
                <w:spacing w:val="-11"/>
              </w:rPr>
              <w:t xml:space="preserve"> </w:t>
            </w:r>
            <w:r>
              <w:t>dati,</w:t>
            </w:r>
            <w:r>
              <w:rPr>
                <w:spacing w:val="-12"/>
              </w:rPr>
              <w:t xml:space="preserve"> rilevazione dati ex art. 2, commi 1 e 2, L. 113/2020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7EAA" w14:textId="77777777" w:rsidR="00635D2A" w:rsidRDefault="00635D2A" w:rsidP="00635D2A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con Deliberazione del Direttore Generale n.91 del 15/02/2023 è stato istituito il gruppo di lavoro aziendale “Aggressione e stress lavoro correlato” con il compito di valutare e gestire i rischi in parola (la sua composizione è stata aggiornata al successivo atto aziendale con Deliberazione n.398 del 15/02/2023)</w:t>
            </w:r>
          </w:p>
          <w:p w14:paraId="2E5435C5" w14:textId="77777777" w:rsidR="00635D2A" w:rsidRDefault="00635D2A" w:rsidP="00635D2A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in data 02/02/2023 è stato sottoscritto il “</w:t>
            </w:r>
            <w:r>
              <w:rPr>
                <w:rFonts w:eastAsia="Times New Roman"/>
                <w:i/>
                <w:iCs/>
              </w:rPr>
              <w:t>Protocollo d’intesa per la prevenzione e il contrasto degli atti di violenza e delle aggressioni contro gli esercenti le professioni sanitarie nelle strutture sanitarie e nei presidi dell’Azienda Sanitaria Ospedaliera di Alessandria</w:t>
            </w:r>
            <w:r>
              <w:rPr>
                <w:rFonts w:eastAsia="Times New Roman"/>
              </w:rPr>
              <w:t>” conformemente a quanto previsto dall’art.7 della Legge 113/2020</w:t>
            </w:r>
          </w:p>
          <w:p w14:paraId="6F9FA3A0" w14:textId="77777777" w:rsidR="00635D2A" w:rsidRDefault="00635D2A" w:rsidP="00635D2A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in data 21/03/2023 è stata adottata la revisione n.01 del Documento a Valenza Aziendale DVA 64 “</w:t>
            </w:r>
            <w:r>
              <w:rPr>
                <w:rFonts w:eastAsia="Times New Roman"/>
                <w:i/>
                <w:iCs/>
              </w:rPr>
              <w:t>Prevenzione e gestione delle aggressioni</w:t>
            </w:r>
            <w:r>
              <w:rPr>
                <w:rFonts w:eastAsia="Times New Roman"/>
              </w:rPr>
              <w:t>” all’interno della quale</w:t>
            </w:r>
          </w:p>
          <w:p w14:paraId="5A5521E4" w14:textId="77777777" w:rsidR="00635D2A" w:rsidRDefault="00635D2A" w:rsidP="00635D2A">
            <w:pPr>
              <w:pStyle w:val="Paragrafoelenco"/>
              <w:widowControl/>
              <w:numPr>
                <w:ilvl w:val="1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sono definite le modalità di attivazione degli strumenti operativi previsti dal Protocollo sottoscritto</w:t>
            </w:r>
          </w:p>
          <w:p w14:paraId="0F020FE8" w14:textId="77777777" w:rsidR="00635D2A" w:rsidRDefault="00635D2A" w:rsidP="00635D2A">
            <w:pPr>
              <w:pStyle w:val="Paragrafoelenco"/>
              <w:widowControl/>
              <w:numPr>
                <w:ilvl w:val="1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sono definite la procedura per la gestione degli eventi e le modalità di coinvolgimento del servizio di vigilanza interno</w:t>
            </w:r>
          </w:p>
          <w:p w14:paraId="5D28F638" w14:textId="77777777" w:rsidR="00635D2A" w:rsidRDefault="00635D2A" w:rsidP="00635D2A">
            <w:pPr>
              <w:pStyle w:val="Paragrafoelenco"/>
              <w:widowControl/>
              <w:numPr>
                <w:ilvl w:val="1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è previsto il modulo di segnalazione degli eventi con possibilità di richiedere contestualmente l’attivazione di servizi messi a disposizioni dall’azienda al lavoratore aggredito quali</w:t>
            </w:r>
          </w:p>
          <w:p w14:paraId="077AB25E" w14:textId="77777777" w:rsidR="00635D2A" w:rsidRDefault="00635D2A" w:rsidP="00635D2A">
            <w:pPr>
              <w:pStyle w:val="Paragrafoelenco"/>
              <w:widowControl/>
              <w:numPr>
                <w:ilvl w:val="2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colloquio con il servizio legale aziendale</w:t>
            </w:r>
          </w:p>
          <w:p w14:paraId="09196278" w14:textId="77777777" w:rsidR="00635D2A" w:rsidRDefault="00635D2A" w:rsidP="00635D2A">
            <w:pPr>
              <w:pStyle w:val="Paragrafoelenco"/>
              <w:widowControl/>
              <w:numPr>
                <w:ilvl w:val="2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sopralluogo da parte del SPP</w:t>
            </w:r>
          </w:p>
          <w:p w14:paraId="2DE3506A" w14:textId="77777777" w:rsidR="00635D2A" w:rsidRDefault="00635D2A" w:rsidP="00635D2A">
            <w:pPr>
              <w:pStyle w:val="Paragrafoelenco"/>
              <w:widowControl/>
              <w:numPr>
                <w:ilvl w:val="2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richiedere al MC l’attivazione di uno </w:t>
            </w:r>
            <w:r>
              <w:rPr>
                <w:rFonts w:eastAsia="Times New Roman"/>
              </w:rPr>
              <w:lastRenderedPageBreak/>
              <w:t>specifico supporto psicologico</w:t>
            </w:r>
          </w:p>
          <w:p w14:paraId="0490BC8A" w14:textId="77777777" w:rsidR="00635D2A" w:rsidRDefault="00635D2A" w:rsidP="00635D2A">
            <w:pPr>
              <w:pStyle w:val="Paragrafoelenco"/>
              <w:widowControl/>
              <w:numPr>
                <w:ilvl w:val="2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richiedere al coordinatore della struttura di attivare un focus group di servizio mediante il Servizio di psicologia</w:t>
            </w:r>
          </w:p>
          <w:p w14:paraId="3F9DBF4B" w14:textId="77777777" w:rsidR="00635D2A" w:rsidRDefault="00635D2A" w:rsidP="00635D2A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spacing w:before="0"/>
              <w:ind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corso di formazione residenziale destinato al personale denominato “Aggressioni e stress lavoro correlato” della durata di 4 ore (dati 2023: 18 edizioni – 471 partecipanti)</w:t>
            </w:r>
          </w:p>
          <w:p w14:paraId="21C06CD3" w14:textId="58CF2CC3" w:rsidR="00635D2A" w:rsidRDefault="00C732B2" w:rsidP="00635D2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Le informazioni fornite dal responsabile servizio sicurezza e prevenzione.</w:t>
            </w:r>
          </w:p>
          <w:p w14:paraId="5BFAD997" w14:textId="3E230F78" w:rsidR="00C732B2" w:rsidRDefault="00C732B2" w:rsidP="00635D2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La SSa rischio Clinico non è stato inserito nel gruppo di lavoro.</w:t>
            </w:r>
            <w:r w:rsidR="00912A99">
              <w:rPr>
                <w:rFonts w:eastAsiaTheme="minorHAnsi"/>
              </w:rPr>
              <w:t xml:space="preserve"> </w:t>
            </w:r>
          </w:p>
          <w:p w14:paraId="1AB303C1" w14:textId="44BD824F" w:rsidR="006B29FC" w:rsidRDefault="006B29FC">
            <w:pPr>
              <w:pStyle w:val="TableParagraph"/>
              <w:spacing w:line="238" w:lineRule="exact"/>
              <w:ind w:left="72"/>
            </w:pPr>
          </w:p>
        </w:tc>
      </w:tr>
      <w:tr w:rsidR="006B29FC" w14:paraId="5B3A1963" w14:textId="77777777">
        <w:trPr>
          <w:trHeight w:val="280"/>
        </w:trPr>
        <w:tc>
          <w:tcPr>
            <w:tcW w:w="9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323E" w14:textId="77777777" w:rsidR="006B29FC" w:rsidRDefault="006B29FC">
            <w:pPr>
              <w:pStyle w:val="TableParagraph"/>
              <w:spacing w:line="238" w:lineRule="exact"/>
              <w:ind w:left="72"/>
            </w:pPr>
          </w:p>
        </w:tc>
      </w:tr>
      <w:tr w:rsidR="006B29FC" w14:paraId="3E634C32" w14:textId="77777777">
        <w:trPr>
          <w:trHeight w:val="281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D2E4" w14:textId="77777777" w:rsidR="006B29FC" w:rsidRDefault="00725BF1">
            <w:pPr>
              <w:pStyle w:val="TableParagraph"/>
              <w:spacing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Sezione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XI</w:t>
            </w:r>
          </w:p>
        </w:tc>
      </w:tr>
      <w:tr w:rsidR="006B29FC" w14:paraId="7462E9BE" w14:textId="77777777">
        <w:trPr>
          <w:trHeight w:val="328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EC11" w14:textId="77777777" w:rsidR="006B29FC" w:rsidRDefault="00725BF1">
            <w:pPr>
              <w:pStyle w:val="TableParagraph"/>
              <w:spacing w:line="308" w:lineRule="exact"/>
              <w:ind w:left="72"/>
              <w:rPr>
                <w:b/>
                <w:sz w:val="28"/>
              </w:rPr>
            </w:pPr>
            <w:r>
              <w:rPr>
                <w:b/>
                <w:color w:val="16355C"/>
                <w:sz w:val="28"/>
              </w:rPr>
              <w:t>Azione</w:t>
            </w:r>
            <w:r>
              <w:rPr>
                <w:b/>
                <w:color w:val="16355C"/>
                <w:spacing w:val="24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11.</w:t>
            </w:r>
            <w:r>
              <w:rPr>
                <w:b/>
                <w:color w:val="16355C"/>
                <w:spacing w:val="29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Pratiche</w:t>
            </w:r>
            <w:r>
              <w:rPr>
                <w:b/>
                <w:color w:val="16355C"/>
                <w:spacing w:val="29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contenitive</w:t>
            </w:r>
            <w:r>
              <w:rPr>
                <w:b/>
                <w:color w:val="16355C"/>
                <w:spacing w:val="29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–</w:t>
            </w:r>
            <w:r>
              <w:rPr>
                <w:b/>
                <w:color w:val="16355C"/>
                <w:spacing w:val="25"/>
                <w:sz w:val="28"/>
              </w:rPr>
              <w:t xml:space="preserve"> </w:t>
            </w:r>
            <w:r>
              <w:rPr>
                <w:b/>
                <w:color w:val="16355C"/>
                <w:sz w:val="28"/>
              </w:rPr>
              <w:t>Contenzione</w:t>
            </w:r>
            <w:r>
              <w:rPr>
                <w:b/>
                <w:color w:val="16355C"/>
                <w:spacing w:val="27"/>
                <w:sz w:val="28"/>
              </w:rPr>
              <w:t xml:space="preserve"> </w:t>
            </w:r>
            <w:r>
              <w:rPr>
                <w:b/>
                <w:color w:val="16355C"/>
                <w:spacing w:val="-2"/>
                <w:sz w:val="28"/>
              </w:rPr>
              <w:t>fisica</w:t>
            </w:r>
          </w:p>
        </w:tc>
      </w:tr>
      <w:tr w:rsidR="006B29FC" w14:paraId="523B2D12" w14:textId="77777777">
        <w:trPr>
          <w:trHeight w:val="257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E0641" w14:textId="77777777" w:rsidR="006B29FC" w:rsidRDefault="00725BF1">
            <w:pPr>
              <w:pStyle w:val="TableParagraph"/>
              <w:spacing w:line="238" w:lineRule="exact"/>
              <w:ind w:left="72"/>
            </w:pPr>
            <w:bookmarkStart w:id="11" w:name="​_Esistenza_di_indicazioni_aziendali_per"/>
            <w:bookmarkEnd w:id="11"/>
            <w:r>
              <w:t>Esistenza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indicazioni/procedure</w:t>
            </w:r>
            <w:r>
              <w:rPr>
                <w:spacing w:val="-3"/>
              </w:rPr>
              <w:t xml:space="preserve"> </w:t>
            </w:r>
            <w:r>
              <w:t>aziendali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gestione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situazioni</w:t>
            </w:r>
            <w:r>
              <w:rPr>
                <w:spacing w:val="-2"/>
              </w:rPr>
              <w:t xml:space="preserve"> complesse</w:t>
            </w:r>
          </w:p>
          <w:p w14:paraId="5C32A921" w14:textId="7A3523A4" w:rsidR="006B29FC" w:rsidRDefault="00725BF1">
            <w:pPr>
              <w:pStyle w:val="TableParagraph"/>
              <w:spacing w:line="238" w:lineRule="exact"/>
              <w:ind w:left="72"/>
            </w:pPr>
            <w:r>
              <w:rPr>
                <w:spacing w:val="-2"/>
              </w:rPr>
              <w:t>Procedura aziendale contenzione meccanica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0923" w14:textId="080B8CBE" w:rsidR="006B29FC" w:rsidRDefault="00D059F0" w:rsidP="00D059F0">
            <w:pPr>
              <w:pStyle w:val="TableParagraph"/>
              <w:spacing w:line="238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REV. DVA 76 </w:t>
            </w:r>
            <w:r w:rsidR="00372277">
              <w:rPr>
                <w:i/>
                <w:iCs/>
              </w:rPr>
              <w:t xml:space="preserve"> “ Anomalie </w:t>
            </w:r>
            <w:r w:rsidR="00D87BFE">
              <w:rPr>
                <w:i/>
                <w:iCs/>
              </w:rPr>
              <w:t xml:space="preserve">del comportamento </w:t>
            </w:r>
            <w:r w:rsidR="00834086">
              <w:rPr>
                <w:i/>
                <w:iCs/>
              </w:rPr>
              <w:t xml:space="preserve">“ _revisione scheda di utilizzo della contenzione- inserimento di nuova scheda su </w:t>
            </w:r>
            <w:r w:rsidR="007B167E">
              <w:rPr>
                <w:i/>
                <w:iCs/>
              </w:rPr>
              <w:t>assistenza</w:t>
            </w:r>
            <w:r w:rsidR="00834086">
              <w:rPr>
                <w:i/>
                <w:iCs/>
              </w:rPr>
              <w:t xml:space="preserve"> al </w:t>
            </w:r>
            <w:r w:rsidR="007B167E">
              <w:rPr>
                <w:i/>
                <w:iCs/>
              </w:rPr>
              <w:t>paziente</w:t>
            </w:r>
            <w:r w:rsidR="00834086">
              <w:rPr>
                <w:i/>
                <w:iCs/>
              </w:rPr>
              <w:t xml:space="preserve"> contenuto – effettuato 4 incontri con Sc NCH</w:t>
            </w:r>
            <w:r w:rsidR="007B167E">
              <w:rPr>
                <w:i/>
                <w:iCs/>
              </w:rPr>
              <w:t xml:space="preserve"> -SC MEDCINA INTERNA -</w:t>
            </w:r>
            <w:r w:rsidR="00812E52">
              <w:rPr>
                <w:i/>
                <w:iCs/>
              </w:rPr>
              <w:t>SC NEUROLOGIA -SC GERIATRIA -GIUGNO 2023-</w:t>
            </w:r>
          </w:p>
          <w:p w14:paraId="6A18B5F9" w14:textId="61CBA2C1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Monitoraggio  da parte della </w:t>
            </w:r>
            <w:r w:rsidR="00D77934">
              <w:rPr>
                <w:i/>
                <w:iCs/>
              </w:rPr>
              <w:t>SSA Rischio clinico e raccolta schede.</w:t>
            </w:r>
            <w:r w:rsidR="00C619EB">
              <w:rPr>
                <w:noProof/>
              </w:rPr>
              <w:t xml:space="preserve"> </w:t>
            </w:r>
          </w:p>
          <w:p w14:paraId="5C488B20" w14:textId="77777777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4737FF4D" w14:textId="4D450A28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12E34309" w14:textId="2157972B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1D88385B" w14:textId="42A2636C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68C4ECC8" w14:textId="77777777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0ED8A29F" w14:textId="77777777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594430C3" w14:textId="70708976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77A1CD08" w14:textId="536B6BA0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611FF50E" w14:textId="1C1A44CB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4D5A3312" w14:textId="77777777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1E9DA670" w14:textId="7CD76751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47F57D27" w14:textId="77777777" w:rsidR="00812E52" w:rsidRDefault="00812E52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3A2343AF" w14:textId="652C2968" w:rsidR="00C619EB" w:rsidRDefault="00C619EB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6DD4925F" w14:textId="03A57E7C" w:rsidR="00C619EB" w:rsidRDefault="00C619EB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153BD38C" w14:textId="312D958F" w:rsidR="00C619EB" w:rsidRDefault="00BC1323" w:rsidP="00D059F0">
            <w:pPr>
              <w:pStyle w:val="TableParagraph"/>
              <w:spacing w:line="238" w:lineRule="exact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65480A17" wp14:editId="117ADAEE">
                  <wp:extent cx="4584700" cy="1865630"/>
                  <wp:effectExtent l="0" t="0" r="6350" b="1270"/>
                  <wp:docPr id="7367006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186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E9C16D" w14:textId="77777777" w:rsidR="00C619EB" w:rsidRDefault="00C619EB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2E66ECAF" w14:textId="77777777" w:rsidR="00C619EB" w:rsidRDefault="00C619EB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727FF4BC" w14:textId="77777777" w:rsidR="00BC1323" w:rsidRDefault="00BC1323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0059E31D" w14:textId="77777777" w:rsidR="00BC1323" w:rsidRDefault="00BC1323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78FCF294" w14:textId="77777777" w:rsidR="00BC1323" w:rsidRDefault="00BC1323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79669059" w14:textId="77777777" w:rsidR="00BC1323" w:rsidRDefault="00BC1323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54D51862" w14:textId="77777777" w:rsidR="00BC1323" w:rsidRDefault="00BC1323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  <w:p w14:paraId="1D5B4A39" w14:textId="62F1884E" w:rsidR="00BC1323" w:rsidRDefault="00BC1323" w:rsidP="00D059F0">
            <w:pPr>
              <w:pStyle w:val="TableParagraph"/>
              <w:spacing w:line="238" w:lineRule="exact"/>
              <w:rPr>
                <w:i/>
                <w:iCs/>
              </w:rPr>
            </w:pPr>
          </w:p>
        </w:tc>
      </w:tr>
      <w:tr w:rsidR="006B29FC" w14:paraId="1263A9F9" w14:textId="77777777">
        <w:trPr>
          <w:trHeight w:val="280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E681" w14:textId="77777777" w:rsidR="006B29FC" w:rsidRDefault="006B29F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B29FC" w14:paraId="05FD318A" w14:textId="77777777">
        <w:trPr>
          <w:trHeight w:val="280"/>
        </w:trPr>
        <w:tc>
          <w:tcPr>
            <w:tcW w:w="9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7766" w14:textId="77777777" w:rsidR="006B29FC" w:rsidRDefault="00725B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Sezione XII</w:t>
            </w:r>
          </w:p>
        </w:tc>
      </w:tr>
      <w:tr w:rsidR="006B29FC" w14:paraId="1C1B7768" w14:textId="77777777">
        <w:trPr>
          <w:trHeight w:val="280"/>
        </w:trPr>
        <w:tc>
          <w:tcPr>
            <w:tcW w:w="9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386C" w14:textId="77777777" w:rsidR="006B29FC" w:rsidRDefault="00725BF1">
            <w:pPr>
              <w:pStyle w:val="TableParagraph"/>
              <w:rPr>
                <w:b/>
                <w:color w:val="16355C"/>
                <w:spacing w:val="29"/>
                <w:sz w:val="28"/>
              </w:rPr>
            </w:pPr>
            <w:r>
              <w:rPr>
                <w:b/>
                <w:color w:val="16355C"/>
                <w:spacing w:val="29"/>
                <w:sz w:val="28"/>
              </w:rPr>
              <w:t>Azione 12 – Analisi a priori del rischio</w:t>
            </w:r>
          </w:p>
        </w:tc>
      </w:tr>
      <w:tr w:rsidR="006B29FC" w14:paraId="040B5566" w14:textId="77777777">
        <w:trPr>
          <w:trHeight w:val="280"/>
        </w:trPr>
        <w:tc>
          <w:tcPr>
            <w:tcW w:w="39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C08108" w14:textId="77777777" w:rsidR="006B29FC" w:rsidRDefault="00725BF1">
            <w:pPr>
              <w:pStyle w:val="TableParagraph"/>
            </w:pPr>
            <w:r>
              <w:t>Analisi a priori processi erogazione prestazioni sanitarie a maggior rischio e implementazione azioni di miglioramento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8DFD" w14:textId="77777777" w:rsidR="006B29FC" w:rsidRDefault="00120BE0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t>-ANALISI A PRIORI DEL PERCORSO DEL PAZIENTE PEDIATRICO NEL BLOCCO OPERATORIO EFFETTUATO IL 13 E 14 MARZO 2023</w:t>
            </w:r>
            <w:r w:rsidR="00281A57">
              <w:rPr>
                <w:i/>
                <w:iCs/>
              </w:rPr>
              <w:t>.</w:t>
            </w:r>
          </w:p>
          <w:p w14:paraId="46B2E377" w14:textId="74E10AB5" w:rsidR="00281A57" w:rsidRDefault="00281A57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t>-Monitoraggio delle raccomandazioni sc ostetricia: percorso ultimato.</w:t>
            </w:r>
          </w:p>
          <w:p w14:paraId="2FB36988" w14:textId="77777777" w:rsidR="00125571" w:rsidRDefault="00281A57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t>-Monitoraggio</w:t>
            </w:r>
            <w:r w:rsidR="00125571">
              <w:rPr>
                <w:i/>
                <w:iCs/>
              </w:rPr>
              <w:t xml:space="preserve"> raccomandazioni </w:t>
            </w:r>
            <w:r>
              <w:rPr>
                <w:i/>
                <w:iCs/>
              </w:rPr>
              <w:t xml:space="preserve"> </w:t>
            </w:r>
            <w:r w:rsidR="00125571">
              <w:rPr>
                <w:i/>
                <w:iCs/>
              </w:rPr>
              <w:t>PS PEDIATRICO</w:t>
            </w:r>
            <w:r>
              <w:rPr>
                <w:i/>
                <w:iCs/>
              </w:rPr>
              <w:t xml:space="preserve"> </w:t>
            </w:r>
            <w:r w:rsidR="00125571">
              <w:rPr>
                <w:i/>
                <w:iCs/>
              </w:rPr>
              <w:t>ULTIMATO</w:t>
            </w:r>
          </w:p>
          <w:p w14:paraId="48230F36" w14:textId="48F485DB" w:rsidR="00281A57" w:rsidRDefault="00125571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t>-Monitoraggio in corso del B</w:t>
            </w:r>
            <w:r w:rsidR="00BB29F8">
              <w:rPr>
                <w:i/>
                <w:iCs/>
              </w:rPr>
              <w:t>on effettuata analisi nel 2022</w:t>
            </w:r>
            <w:r w:rsidR="00281A57">
              <w:rPr>
                <w:i/>
                <w:iCs/>
              </w:rPr>
              <w:t xml:space="preserve"> </w:t>
            </w:r>
          </w:p>
        </w:tc>
      </w:tr>
      <w:tr w:rsidR="006B29FC" w14:paraId="12F2A9B8" w14:textId="77777777">
        <w:trPr>
          <w:trHeight w:val="280"/>
        </w:trPr>
        <w:tc>
          <w:tcPr>
            <w:tcW w:w="9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E82C" w14:textId="77777777" w:rsidR="006B29FC" w:rsidRDefault="006B29F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B29FC" w14:paraId="0FE34C0D" w14:textId="77777777">
        <w:trPr>
          <w:trHeight w:val="280"/>
        </w:trPr>
        <w:tc>
          <w:tcPr>
            <w:tcW w:w="9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A122" w14:textId="77777777" w:rsidR="006B29FC" w:rsidRDefault="00725BF1">
            <w:pPr>
              <w:pStyle w:val="TableParagraph"/>
              <w:rPr>
                <w:b/>
                <w:color w:val="16355C"/>
                <w:sz w:val="28"/>
              </w:rPr>
            </w:pPr>
            <w:r>
              <w:rPr>
                <w:b/>
                <w:color w:val="16355C"/>
                <w:sz w:val="28"/>
              </w:rPr>
              <w:lastRenderedPageBreak/>
              <w:t>Azione 15 – Rischio infettivo e rischio clinico</w:t>
            </w:r>
          </w:p>
        </w:tc>
      </w:tr>
      <w:tr w:rsidR="006B29FC" w14:paraId="3E8338C2" w14:textId="77777777">
        <w:trPr>
          <w:trHeight w:val="281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95922" w14:textId="77777777" w:rsidR="006B29FC" w:rsidRDefault="00725BF1">
            <w:pPr>
              <w:pStyle w:val="TableParagraph"/>
              <w:spacing w:line="262" w:lineRule="exact"/>
              <w:ind w:left="72"/>
            </w:pPr>
            <w:r>
              <w:t>T</w:t>
            </w:r>
            <w:r>
              <w:rPr>
                <w:spacing w:val="-5"/>
              </w:rPr>
              <w:t>racciabilità delle attività di prevenzione delle infezioni ospedaliere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1FA2" w14:textId="2002B332" w:rsidR="006B29FC" w:rsidRDefault="00725BF1">
            <w:pPr>
              <w:pStyle w:val="TableParagraph"/>
              <w:spacing w:line="262" w:lineRule="exact"/>
              <w:ind w:left="72"/>
              <w:rPr>
                <w:i/>
                <w:iCs/>
              </w:rPr>
            </w:pPr>
            <w:r>
              <w:rPr>
                <w:i/>
                <w:iCs/>
              </w:rPr>
              <w:t>Report aziendale documenti/procedure presenti</w:t>
            </w:r>
            <w:r w:rsidR="00BB29F8">
              <w:rPr>
                <w:i/>
                <w:iCs/>
              </w:rPr>
              <w:t>: GRUPPO DI LAVORO SSA RISCHIO CLINICO -CIO CON REVSIONE DELLA CHE</w:t>
            </w:r>
            <w:r w:rsidR="00C132B3">
              <w:rPr>
                <w:i/>
                <w:iCs/>
              </w:rPr>
              <w:t xml:space="preserve">CKLIST DI SICUREZZA : REVIOSNE DI TUTTA LA DOCUEMNTAZIONE E </w:t>
            </w:r>
            <w:r w:rsidR="00DE1631">
              <w:rPr>
                <w:i/>
                <w:iCs/>
              </w:rPr>
              <w:t>PRODUZIONE D</w:t>
            </w:r>
            <w:r w:rsidR="009D1093">
              <w:rPr>
                <w:i/>
                <w:iCs/>
              </w:rPr>
              <w:t xml:space="preserve">EL </w:t>
            </w:r>
            <w:r w:rsidR="00DE1631">
              <w:rPr>
                <w:i/>
                <w:iCs/>
              </w:rPr>
              <w:t xml:space="preserve">DVA PERIOPERATORIO CON REVISIONE DELLA CECKLIST DI SCIUREZZA </w:t>
            </w:r>
            <w:r w:rsidR="00526695">
              <w:rPr>
                <w:i/>
                <w:iCs/>
              </w:rPr>
              <w:t xml:space="preserve"> CON EVIDENZA DEL TIMING ANTIBIOTICO PROFILASSI, TRICOTOMIA, DOCCIA E PRESA VISIONE DELLA DOCUEMNTAZIONE DEI REPARTI PER REVISIONE ED EVIDENZA IN COLLABORAZIONE CON LA</w:t>
            </w:r>
            <w:r w:rsidR="00C96663">
              <w:rPr>
                <w:i/>
                <w:iCs/>
              </w:rPr>
              <w:t xml:space="preserve"> DMP </w:t>
            </w:r>
            <w:r w:rsidR="00526695">
              <w:rPr>
                <w:i/>
                <w:iCs/>
              </w:rPr>
              <w:t xml:space="preserve"> SU SUPERVIONE DEL</w:t>
            </w:r>
            <w:r w:rsidR="00C96663">
              <w:rPr>
                <w:i/>
                <w:iCs/>
              </w:rPr>
              <w:t>LA DS.</w:t>
            </w:r>
          </w:p>
        </w:tc>
      </w:tr>
      <w:tr w:rsidR="006B29FC" w14:paraId="6E0B7C7E" w14:textId="77777777">
        <w:trPr>
          <w:trHeight w:val="280"/>
        </w:trPr>
        <w:tc>
          <w:tcPr>
            <w:tcW w:w="9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3913" w14:textId="77777777" w:rsidR="006B29FC" w:rsidRDefault="006B29FC">
            <w:pPr>
              <w:pStyle w:val="TableParagraph"/>
              <w:spacing w:line="260" w:lineRule="exact"/>
              <w:ind w:left="72"/>
              <w:rPr>
                <w:b/>
                <w:sz w:val="24"/>
              </w:rPr>
            </w:pPr>
          </w:p>
        </w:tc>
      </w:tr>
    </w:tbl>
    <w:p w14:paraId="49B3F1DF" w14:textId="77777777" w:rsidR="006B29FC" w:rsidRDefault="006B29FC">
      <w:pPr>
        <w:rPr>
          <w:rFonts w:ascii="Times New Roman" w:hAnsi="Times New Roman"/>
          <w:sz w:val="18"/>
        </w:rPr>
      </w:pPr>
    </w:p>
    <w:p w14:paraId="1752DAD8" w14:textId="77777777" w:rsidR="006B29FC" w:rsidRDefault="006B29FC"/>
    <w:p w14:paraId="60A25A59" w14:textId="77777777" w:rsidR="006B29FC" w:rsidRDefault="006B29FC"/>
    <w:p w14:paraId="4F70E5EB" w14:textId="77777777" w:rsidR="006B29FC" w:rsidRDefault="006B29FC"/>
    <w:p w14:paraId="39313D31" w14:textId="77777777" w:rsidR="006B29FC" w:rsidRDefault="006B29FC"/>
    <w:p w14:paraId="31054BF5" w14:textId="77777777" w:rsidR="006B29FC" w:rsidRDefault="006B29FC">
      <w:pPr>
        <w:rPr>
          <w:rFonts w:ascii="Calibri" w:hAnsi="Calibri"/>
          <w:color w:val="355E90"/>
          <w:spacing w:val="-2"/>
          <w:sz w:val="28"/>
        </w:rPr>
      </w:pPr>
    </w:p>
    <w:sectPr w:rsidR="006B29FC">
      <w:type w:val="continuous"/>
      <w:pgSz w:w="11906" w:h="16838"/>
      <w:pgMar w:top="1920" w:right="940" w:bottom="280" w:left="9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C4660"/>
    <w:multiLevelType w:val="hybridMultilevel"/>
    <w:tmpl w:val="2176EF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8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9FC"/>
    <w:rsid w:val="00013B26"/>
    <w:rsid w:val="00024675"/>
    <w:rsid w:val="00027F41"/>
    <w:rsid w:val="00030D20"/>
    <w:rsid w:val="00053B41"/>
    <w:rsid w:val="00063A32"/>
    <w:rsid w:val="000A2229"/>
    <w:rsid w:val="000C76BC"/>
    <w:rsid w:val="000E1882"/>
    <w:rsid w:val="000F763A"/>
    <w:rsid w:val="00100629"/>
    <w:rsid w:val="00115FFD"/>
    <w:rsid w:val="00120BE0"/>
    <w:rsid w:val="00125571"/>
    <w:rsid w:val="001329A9"/>
    <w:rsid w:val="00183893"/>
    <w:rsid w:val="001E16B2"/>
    <w:rsid w:val="001F551C"/>
    <w:rsid w:val="00211533"/>
    <w:rsid w:val="002136EB"/>
    <w:rsid w:val="00240E91"/>
    <w:rsid w:val="00281A57"/>
    <w:rsid w:val="002958CC"/>
    <w:rsid w:val="002B3A01"/>
    <w:rsid w:val="002B48BB"/>
    <w:rsid w:val="002B622A"/>
    <w:rsid w:val="002D092D"/>
    <w:rsid w:val="002F35E1"/>
    <w:rsid w:val="00345ADF"/>
    <w:rsid w:val="00367DAB"/>
    <w:rsid w:val="00372277"/>
    <w:rsid w:val="00391632"/>
    <w:rsid w:val="003E1322"/>
    <w:rsid w:val="004005C2"/>
    <w:rsid w:val="00421E4F"/>
    <w:rsid w:val="004250F9"/>
    <w:rsid w:val="00453CC2"/>
    <w:rsid w:val="00477BEB"/>
    <w:rsid w:val="00481E45"/>
    <w:rsid w:val="00482A44"/>
    <w:rsid w:val="004A2673"/>
    <w:rsid w:val="004E5143"/>
    <w:rsid w:val="00526695"/>
    <w:rsid w:val="00541B66"/>
    <w:rsid w:val="00576265"/>
    <w:rsid w:val="005C52DB"/>
    <w:rsid w:val="005F2B89"/>
    <w:rsid w:val="0063073C"/>
    <w:rsid w:val="00634592"/>
    <w:rsid w:val="00635D2A"/>
    <w:rsid w:val="006412C4"/>
    <w:rsid w:val="006841D2"/>
    <w:rsid w:val="00685D4A"/>
    <w:rsid w:val="006A2DDF"/>
    <w:rsid w:val="006B29FC"/>
    <w:rsid w:val="006C450F"/>
    <w:rsid w:val="006D3FC9"/>
    <w:rsid w:val="006D58A1"/>
    <w:rsid w:val="006F62E6"/>
    <w:rsid w:val="00725BF1"/>
    <w:rsid w:val="007926DA"/>
    <w:rsid w:val="007A6808"/>
    <w:rsid w:val="007B167E"/>
    <w:rsid w:val="007B7EB8"/>
    <w:rsid w:val="007C4CDB"/>
    <w:rsid w:val="007F16D0"/>
    <w:rsid w:val="00812E52"/>
    <w:rsid w:val="008257FF"/>
    <w:rsid w:val="00834086"/>
    <w:rsid w:val="0084203F"/>
    <w:rsid w:val="00875B8E"/>
    <w:rsid w:val="0089606C"/>
    <w:rsid w:val="008D4D4D"/>
    <w:rsid w:val="00912A99"/>
    <w:rsid w:val="009D1093"/>
    <w:rsid w:val="00A5280C"/>
    <w:rsid w:val="00A761E4"/>
    <w:rsid w:val="00A77287"/>
    <w:rsid w:val="00AC677E"/>
    <w:rsid w:val="00B46E9D"/>
    <w:rsid w:val="00B5208A"/>
    <w:rsid w:val="00BA6AC5"/>
    <w:rsid w:val="00BB29F8"/>
    <w:rsid w:val="00BC1323"/>
    <w:rsid w:val="00C12470"/>
    <w:rsid w:val="00C132B3"/>
    <w:rsid w:val="00C15109"/>
    <w:rsid w:val="00C21E87"/>
    <w:rsid w:val="00C37AA0"/>
    <w:rsid w:val="00C4427D"/>
    <w:rsid w:val="00C60527"/>
    <w:rsid w:val="00C619EB"/>
    <w:rsid w:val="00C732B2"/>
    <w:rsid w:val="00C96663"/>
    <w:rsid w:val="00CB5B97"/>
    <w:rsid w:val="00CF3A5F"/>
    <w:rsid w:val="00CF6BC0"/>
    <w:rsid w:val="00D00D0E"/>
    <w:rsid w:val="00D059F0"/>
    <w:rsid w:val="00D26220"/>
    <w:rsid w:val="00D57C5B"/>
    <w:rsid w:val="00D71CAC"/>
    <w:rsid w:val="00D77934"/>
    <w:rsid w:val="00D87BFE"/>
    <w:rsid w:val="00DE1631"/>
    <w:rsid w:val="00DF3BF1"/>
    <w:rsid w:val="00E32FF5"/>
    <w:rsid w:val="00E45A74"/>
    <w:rsid w:val="00EC1C03"/>
    <w:rsid w:val="00EC4F84"/>
    <w:rsid w:val="00ED2700"/>
    <w:rsid w:val="00F01C9C"/>
    <w:rsid w:val="00F03451"/>
    <w:rsid w:val="00F14B34"/>
    <w:rsid w:val="00F35AFF"/>
    <w:rsid w:val="00F53463"/>
    <w:rsid w:val="00F96517"/>
    <w:rsid w:val="00FA6C9F"/>
    <w:rsid w:val="00FB14DF"/>
    <w:rsid w:val="00FB457B"/>
    <w:rsid w:val="00FD4B7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152B"/>
  <w15:docId w15:val="{3A0FF1D3-3A6B-4C94-B4EA-BDEC09A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74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740" w:right="749"/>
      <w:jc w:val="center"/>
    </w:pPr>
    <w:rPr>
      <w:sz w:val="52"/>
      <w:szCs w:val="52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pPr>
      <w:spacing w:before="192"/>
      <w:ind w:left="916" w:right="194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C45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hyperlink" Target="https://www.ospedale.al.it/it/struttura-sanitaria/rischio-clinico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ospedale.al.it/it/struttura-sanitaria/rischio-clinico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volta\Documents\REPORT%20ANNO%202023%20CADUTE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volta\Documents\REPORT%20ANNO%202023%20CADUTE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baseline="0"/>
              <a:t>REPORT CADUTE AOU AL  ANNO 2023</a:t>
            </a:r>
            <a:endParaRPr lang="it-I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'[REPORT ANNO 2023 CADUTE 1.xlsx]2023'!$I$49:$I$80</c:f>
              <c:strCache>
                <c:ptCount val="32"/>
                <c:pt idx="0">
                  <c:v>MEDICINA INTERNA</c:v>
                </c:pt>
                <c:pt idx="1">
                  <c:v>MECAU</c:v>
                </c:pt>
                <c:pt idx="2">
                  <c:v>NCH</c:v>
                </c:pt>
                <c:pt idx="3">
                  <c:v>NEUROLOGIA</c:v>
                </c:pt>
                <c:pt idx="4">
                  <c:v>CARDIOLOGIA</c:v>
                </c:pt>
                <c:pt idx="5">
                  <c:v>OBI/PS</c:v>
                </c:pt>
                <c:pt idx="6">
                  <c:v>M.A.R.</c:v>
                </c:pt>
                <c:pt idx="7">
                  <c:v>NEFROLOGIA</c:v>
                </c:pt>
                <c:pt idx="8">
                  <c:v>RRF 2° LIVEL</c:v>
                </c:pt>
                <c:pt idx="9">
                  <c:v>GASTROENTEROL</c:v>
                </c:pt>
                <c:pt idx="10">
                  <c:v>ONCOLOGIA</c:v>
                </c:pt>
                <c:pt idx="11">
                  <c:v>CARDIORESPIRO</c:v>
                </c:pt>
                <c:pt idx="12">
                  <c:v>GERIATRIA</c:v>
                </c:pt>
                <c:pt idx="13">
                  <c:v>CH VASCOLARE</c:v>
                </c:pt>
                <c:pt idx="14">
                  <c:v>EMATOLOGIA</c:v>
                </c:pt>
                <c:pt idx="15">
                  <c:v>UROLOGIA</c:v>
                </c:pt>
                <c:pt idx="16">
                  <c:v>CH GENERALE</c:v>
                </c:pt>
                <c:pt idx="17">
                  <c:v>NEURORIABILITAZ</c:v>
                </c:pt>
                <c:pt idx="18">
                  <c:v>ORTOPEDIA</c:v>
                </c:pt>
                <c:pt idx="19">
                  <c:v>MALATTIE INFETTIVE</c:v>
                </c:pt>
                <c:pt idx="20">
                  <c:v>SPDC</c:v>
                </c:pt>
                <c:pt idx="21">
                  <c:v>EMATOLOGIA</c:v>
                </c:pt>
                <c:pt idx="22">
                  <c:v>CCH</c:v>
                </c:pt>
                <c:pt idx="23">
                  <c:v>CH. PEDIATR</c:v>
                </c:pt>
                <c:pt idx="24">
                  <c:v>RADIOLOGIA</c:v>
                </c:pt>
                <c:pt idx="25">
                  <c:v>BON</c:v>
                </c:pt>
                <c:pt idx="26">
                  <c:v>CH. TORACICA                 1</c:v>
                </c:pt>
                <c:pt idx="27">
                  <c:v>EMODIALISI</c:v>
                </c:pt>
                <c:pt idx="28">
                  <c:v>RIA POLIV.</c:v>
                </c:pt>
                <c:pt idx="29">
                  <c:v>ORL</c:v>
                </c:pt>
                <c:pt idx="30">
                  <c:v>REUMATOL.</c:v>
                </c:pt>
                <c:pt idx="31">
                  <c:v>PEDIATRIA</c:v>
                </c:pt>
              </c:strCache>
            </c:strRef>
          </c:cat>
          <c:val>
            <c:numRef>
              <c:f>'[REPORT ANNO 2023 CADUTE 1.xlsx]2023'!$J$49:$J$80</c:f>
              <c:numCache>
                <c:formatCode>General</c:formatCode>
                <c:ptCount val="32"/>
                <c:pt idx="0">
                  <c:v>61</c:v>
                </c:pt>
                <c:pt idx="1">
                  <c:v>46</c:v>
                </c:pt>
                <c:pt idx="2">
                  <c:v>21</c:v>
                </c:pt>
                <c:pt idx="3">
                  <c:v>51</c:v>
                </c:pt>
                <c:pt idx="4">
                  <c:v>16</c:v>
                </c:pt>
                <c:pt idx="5">
                  <c:v>21</c:v>
                </c:pt>
                <c:pt idx="6">
                  <c:v>26</c:v>
                </c:pt>
                <c:pt idx="7">
                  <c:v>12</c:v>
                </c:pt>
                <c:pt idx="8">
                  <c:v>9</c:v>
                </c:pt>
                <c:pt idx="9">
                  <c:v>18</c:v>
                </c:pt>
                <c:pt idx="10">
                  <c:v>29</c:v>
                </c:pt>
                <c:pt idx="11">
                  <c:v>38</c:v>
                </c:pt>
                <c:pt idx="12">
                  <c:v>15</c:v>
                </c:pt>
                <c:pt idx="13">
                  <c:v>11</c:v>
                </c:pt>
                <c:pt idx="14">
                  <c:v>3</c:v>
                </c:pt>
                <c:pt idx="15">
                  <c:v>7</c:v>
                </c:pt>
                <c:pt idx="16">
                  <c:v>6</c:v>
                </c:pt>
                <c:pt idx="17">
                  <c:v>15</c:v>
                </c:pt>
                <c:pt idx="18">
                  <c:v>8</c:v>
                </c:pt>
                <c:pt idx="19">
                  <c:v>12</c:v>
                </c:pt>
                <c:pt idx="20">
                  <c:v>5</c:v>
                </c:pt>
                <c:pt idx="21">
                  <c:v>14</c:v>
                </c:pt>
                <c:pt idx="22">
                  <c:v>8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  <c:pt idx="27">
                  <c:v>2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E3-42CE-B825-F8FC9BA7BE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29947728"/>
        <c:axId val="1029604848"/>
      </c:barChart>
      <c:catAx>
        <c:axId val="112994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29604848"/>
        <c:crosses val="autoZero"/>
        <c:auto val="1"/>
        <c:lblAlgn val="ctr"/>
        <c:lblOffset val="100"/>
        <c:noMultiLvlLbl val="0"/>
      </c:catAx>
      <c:valAx>
        <c:axId val="102960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129947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baseline="0"/>
              <a:t>REPORT CADUTE AOU AL  ANNO 2023</a:t>
            </a:r>
            <a:endParaRPr lang="it-I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'[REPORT ANNO 2023 CADUTE 1.xlsx]2023'!$I$49:$I$80</c:f>
              <c:strCache>
                <c:ptCount val="32"/>
                <c:pt idx="0">
                  <c:v>MEDICINA INTERNA</c:v>
                </c:pt>
                <c:pt idx="1">
                  <c:v>MECAU</c:v>
                </c:pt>
                <c:pt idx="2">
                  <c:v>NCH</c:v>
                </c:pt>
                <c:pt idx="3">
                  <c:v>NEUROLOGIA</c:v>
                </c:pt>
                <c:pt idx="4">
                  <c:v>CARDIOLOGIA</c:v>
                </c:pt>
                <c:pt idx="5">
                  <c:v>OBI/PS</c:v>
                </c:pt>
                <c:pt idx="6">
                  <c:v>M.A.R.</c:v>
                </c:pt>
                <c:pt idx="7">
                  <c:v>NEFROLOGIA</c:v>
                </c:pt>
                <c:pt idx="8">
                  <c:v>RRF 2° LIVEL</c:v>
                </c:pt>
                <c:pt idx="9">
                  <c:v>GASTROENTEROL</c:v>
                </c:pt>
                <c:pt idx="10">
                  <c:v>ONCOLOGIA</c:v>
                </c:pt>
                <c:pt idx="11">
                  <c:v>CARDIORESPIRO</c:v>
                </c:pt>
                <c:pt idx="12">
                  <c:v>GERIATRIA</c:v>
                </c:pt>
                <c:pt idx="13">
                  <c:v>CH VASCOLARE</c:v>
                </c:pt>
                <c:pt idx="14">
                  <c:v>EMATOLOGIA</c:v>
                </c:pt>
                <c:pt idx="15">
                  <c:v>UROLOGIA</c:v>
                </c:pt>
                <c:pt idx="16">
                  <c:v>CH GENERALE</c:v>
                </c:pt>
                <c:pt idx="17">
                  <c:v>NEURORIABILITAZ</c:v>
                </c:pt>
                <c:pt idx="18">
                  <c:v>ORTOPEDIA</c:v>
                </c:pt>
                <c:pt idx="19">
                  <c:v>MALATTIE INFETTIVE</c:v>
                </c:pt>
                <c:pt idx="20">
                  <c:v>SPDC</c:v>
                </c:pt>
                <c:pt idx="21">
                  <c:v>EMATOLOGIA</c:v>
                </c:pt>
                <c:pt idx="22">
                  <c:v>CCH</c:v>
                </c:pt>
                <c:pt idx="23">
                  <c:v>CH. PEDIATR</c:v>
                </c:pt>
                <c:pt idx="24">
                  <c:v>RADIOLOGIA</c:v>
                </c:pt>
                <c:pt idx="25">
                  <c:v>BON</c:v>
                </c:pt>
                <c:pt idx="26">
                  <c:v>CH. TORACICA                 1</c:v>
                </c:pt>
                <c:pt idx="27">
                  <c:v>EMODIALISI</c:v>
                </c:pt>
                <c:pt idx="28">
                  <c:v>RIA POLIV.</c:v>
                </c:pt>
                <c:pt idx="29">
                  <c:v>ORL</c:v>
                </c:pt>
                <c:pt idx="30">
                  <c:v>REUMATOL.</c:v>
                </c:pt>
                <c:pt idx="31">
                  <c:v>PEDIATRIA</c:v>
                </c:pt>
              </c:strCache>
            </c:strRef>
          </c:cat>
          <c:val>
            <c:numRef>
              <c:f>'[REPORT ANNO 2023 CADUTE 1.xlsx]2023'!$J$49:$J$80</c:f>
              <c:numCache>
                <c:formatCode>General</c:formatCode>
                <c:ptCount val="32"/>
                <c:pt idx="0">
                  <c:v>61</c:v>
                </c:pt>
                <c:pt idx="1">
                  <c:v>46</c:v>
                </c:pt>
                <c:pt idx="2">
                  <c:v>21</c:v>
                </c:pt>
                <c:pt idx="3">
                  <c:v>51</c:v>
                </c:pt>
                <c:pt idx="4">
                  <c:v>16</c:v>
                </c:pt>
                <c:pt idx="5">
                  <c:v>21</c:v>
                </c:pt>
                <c:pt idx="6">
                  <c:v>26</c:v>
                </c:pt>
                <c:pt idx="7">
                  <c:v>12</c:v>
                </c:pt>
                <c:pt idx="8">
                  <c:v>9</c:v>
                </c:pt>
                <c:pt idx="9">
                  <c:v>18</c:v>
                </c:pt>
                <c:pt idx="10">
                  <c:v>29</c:v>
                </c:pt>
                <c:pt idx="11">
                  <c:v>38</c:v>
                </c:pt>
                <c:pt idx="12">
                  <c:v>15</c:v>
                </c:pt>
                <c:pt idx="13">
                  <c:v>11</c:v>
                </c:pt>
                <c:pt idx="14">
                  <c:v>3</c:v>
                </c:pt>
                <c:pt idx="15">
                  <c:v>7</c:v>
                </c:pt>
                <c:pt idx="16">
                  <c:v>6</c:v>
                </c:pt>
                <c:pt idx="17">
                  <c:v>15</c:v>
                </c:pt>
                <c:pt idx="18">
                  <c:v>8</c:v>
                </c:pt>
                <c:pt idx="19">
                  <c:v>12</c:v>
                </c:pt>
                <c:pt idx="20">
                  <c:v>5</c:v>
                </c:pt>
                <c:pt idx="21">
                  <c:v>14</c:v>
                </c:pt>
                <c:pt idx="22">
                  <c:v>8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  <c:pt idx="27">
                  <c:v>2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C3-4E54-9E3E-3715DCE1E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29947728"/>
        <c:axId val="1029604848"/>
      </c:barChart>
      <c:catAx>
        <c:axId val="112994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29604848"/>
        <c:crosses val="autoZero"/>
        <c:auto val="1"/>
        <c:lblAlgn val="ctr"/>
        <c:lblOffset val="100"/>
        <c:noMultiLvlLbl val="0"/>
      </c:catAx>
      <c:valAx>
        <c:axId val="102960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129947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29947728"/>
        <c:axId val="1029604848"/>
      </c:barChart>
      <c:catAx>
        <c:axId val="112994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29604848"/>
        <c:crosses val="autoZero"/>
        <c:auto val="1"/>
        <c:lblAlgn val="ctr"/>
        <c:lblOffset val="100"/>
        <c:noMultiLvlLbl val="0"/>
      </c:catAx>
      <c:valAx>
        <c:axId val="1029604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1299477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1861</Words>
  <Characters>10611</Characters>
  <Application>Microsoft Office Word</Application>
  <DocSecurity>0</DocSecurity>
  <Lines>88</Lines>
  <Paragraphs>24</Paragraphs>
  <ScaleCrop>false</ScaleCrop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valutazione partecipata del grado di umanizzazione delle strutture di ricovero:</dc:title>
  <dc:subject/>
  <dc:creator>Micaela Cerilli</dc:creator>
  <dc:description/>
  <cp:lastModifiedBy>Volta Laura</cp:lastModifiedBy>
  <cp:revision>5</cp:revision>
  <dcterms:created xsi:type="dcterms:W3CDTF">2024-03-07T10:53:00Z</dcterms:created>
  <dcterms:modified xsi:type="dcterms:W3CDTF">2024-03-07T11:03:00Z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2023-01-19T00:00:00Z</vt:filetime>
  </property>
  <property fmtid="{D5CDD505-2E9C-101B-9397-08002B2CF9AE}" pid="5" name="Producer">
    <vt:lpwstr>LibreOffice 7.0</vt:lpwstr>
  </property>
</Properties>
</file>